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921385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946785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47" w:lineRule="exact"/>
        <w:rPr>
          <w:sz w:val="24"/>
          <w:szCs w:val="24"/>
          <w:color w:val="auto"/>
        </w:rPr>
      </w:pPr>
    </w:p>
    <w:p>
      <w:pPr>
        <w:ind w:left="4460" w:right="3800" w:hanging="4436"/>
        <w:spacing w:after="0" w:line="375" w:lineRule="auto"/>
        <w:tabs>
          <w:tab w:leader="none" w:pos="468"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76" w:lineRule="exact"/>
        <w:rPr>
          <w:sz w:val="24"/>
          <w:szCs w:val="24"/>
          <w:color w:val="auto"/>
        </w:rPr>
      </w:pPr>
    </w:p>
    <w:p>
      <w:pPr>
        <w:ind w:left="480" w:hanging="456"/>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001-41247</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56"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940" w:type="dxa"/>
            <w:vAlign w:val="bottom"/>
          </w:tcPr>
          <w:p>
            <w:pPr>
              <w:spacing w:after="0"/>
              <w:rPr>
                <w:sz w:val="20"/>
                <w:szCs w:val="20"/>
                <w:color w:val="auto"/>
              </w:rPr>
            </w:pPr>
          </w:p>
        </w:tc>
        <w:tc>
          <w:tcPr>
            <w:tcW w:w="276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01"/>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940" w:type="dxa"/>
            <w:vAlign w:val="bottom"/>
          </w:tcPr>
          <w:p>
            <w:pPr>
              <w:spacing w:after="0"/>
              <w:rPr>
                <w:sz w:val="17"/>
                <w:szCs w:val="17"/>
                <w:color w:val="auto"/>
              </w:rPr>
            </w:pPr>
          </w:p>
        </w:tc>
        <w:tc>
          <w:tcPr>
            <w:tcW w:w="2760" w:type="dxa"/>
            <w:vAlign w:val="bottom"/>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98"/>
        </w:trPr>
        <w:tc>
          <w:tcPr>
            <w:tcW w:w="3460" w:type="dxa"/>
            <w:vAlign w:val="bottom"/>
          </w:tcPr>
          <w:p>
            <w:pPr>
              <w:spacing w:after="0"/>
              <w:rPr>
                <w:sz w:val="24"/>
                <w:szCs w:val="2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210 Delburg Street</w:t>
            </w:r>
          </w:p>
        </w:tc>
        <w:tc>
          <w:tcPr>
            <w:tcW w:w="2760" w:type="dxa"/>
            <w:vAlign w:val="bottom"/>
          </w:tcPr>
          <w:p>
            <w:pPr>
              <w:spacing w:after="0"/>
              <w:rPr>
                <w:sz w:val="24"/>
                <w:szCs w:val="24"/>
                <w:color w:val="auto"/>
              </w:rPr>
            </w:pPr>
          </w:p>
        </w:tc>
      </w:tr>
      <w:tr>
        <w:trPr>
          <w:trHeight w:val="359"/>
        </w:trPr>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Davidson,</w:t>
            </w: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760" w:type="dxa"/>
            <w:vAlign w:val="bottom"/>
          </w:tcPr>
          <w:p>
            <w:pPr>
              <w:jc w:val="right"/>
              <w:ind w:right="2176"/>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307"/>
        </w:trPr>
        <w:tc>
          <w:tcPr>
            <w:tcW w:w="540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760" w:type="dxa"/>
            <w:vAlign w:val="bottom"/>
          </w:tcPr>
          <w:p>
            <w:pPr>
              <w:spacing w:after="0"/>
              <w:rPr>
                <w:sz w:val="24"/>
                <w:szCs w:val="24"/>
                <w:color w:val="auto"/>
              </w:rPr>
            </w:pPr>
          </w:p>
        </w:tc>
      </w:tr>
      <w:tr>
        <w:trPr>
          <w:trHeight w:val="358"/>
        </w:trPr>
        <w:tc>
          <w:tcPr>
            <w:tcW w:w="540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60" w:type="dxa"/>
            <w:vAlign w:val="bottom"/>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(704) 802-2041</w:t>
            </w:r>
          </w:p>
        </w:tc>
      </w:tr>
    </w:tbl>
    <w:p>
      <w:pPr>
        <w:spacing w:after="0" w:line="7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186"/>
        </w:trPr>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4"/>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r>
        <w:trPr>
          <w:trHeight w:val="253"/>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bl>
    <w:p>
      <w:pPr>
        <w:spacing w:after="0" w:line="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48" w:lineRule="exact"/>
        <w:rPr>
          <w:sz w:val="24"/>
          <w:szCs w:val="24"/>
          <w:color w:val="auto"/>
        </w:rPr>
      </w:pPr>
    </w:p>
    <w:p>
      <w:pPr>
        <w:spacing w:after="0"/>
        <w:tabs>
          <w:tab w:leader="none" w:pos="90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6" w:lineRule="exact"/>
        <w:rPr>
          <w:sz w:val="24"/>
          <w:szCs w:val="24"/>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Securities Exchange Act of 1934.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0"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3" w:lineRule="exact"/>
        <w:rPr>
          <w:sz w:val="24"/>
          <w:szCs w:val="24"/>
          <w:color w:val="auto"/>
        </w:rPr>
      </w:pPr>
    </w:p>
    <w:tbl>
      <w:tblPr>
        <w:tblLayout w:type="fixed"/>
        <w:tblInd w:w="166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o</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99"/>
              </w:rPr>
              <w:t>o</w:t>
            </w:r>
          </w:p>
        </w:tc>
      </w:t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x</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r>
        <w:trPr>
          <w:trHeight w:val="253"/>
        </w:trPr>
        <w:tc>
          <w:tcPr>
            <w:tcW w:w="18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327"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Wingdings" w:cs="Wingdings" w:eastAsia="Wingdings" w:hAnsi="Wingdings"/>
          <w:sz w:val="18"/>
          <w:szCs w:val="18"/>
          <w:b w:val="1"/>
          <w:bCs w:val="1"/>
          <w:color w:val="auto"/>
        </w:rPr>
        <w:t>o</w:t>
      </w:r>
    </w:p>
    <w:p>
      <w:pPr>
        <w:spacing w:after="0" w:line="95" w:lineRule="exact"/>
        <w:rPr>
          <w:sz w:val="24"/>
          <w:szCs w:val="24"/>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00"/>
          </w:cols>
          <w:pgMar w:left="320" w:top="226" w:right="379" w:bottom="160" w:gutter="0" w:footer="0" w:header="0"/>
        </w:sectPr>
      </w:pPr>
    </w:p>
    <w:bookmarkStart w:id="1" w:name="page2"/>
    <w:bookmarkEnd w:id="1"/>
    <w:p>
      <w:pPr>
        <w:ind w:right="4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registrant’s common stock held by non-affiliates of the registrant was approximately $176,744,176 based on the closing sales price as reported on the Nasdaq Capital Market.</w:t>
      </w:r>
    </w:p>
    <w:p>
      <w:pPr>
        <w:spacing w:after="0" w:line="190"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As of March 13, 2026, there were 132,475,998 shares of Class A common stock, 10,582,641 shares of Class B common stock, and 49,184,815 warrants to purchase Class A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3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Portions of the registrant’s Proxy Statement for the registrant’s 2026 Annual Meeting of Stockholders are incorporated by reference into Part III of this Form 10-K to the extent stated herein. The Proxy Statement will be filed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803910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0" w:type="dxa"/>
            <w:vAlign w:val="bottom"/>
            <w:gridSpan w:val="1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0" w:type="dxa"/>
            <w:vAlign w:val="bottom"/>
            <w:gridSpan w:val="12"/>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60" w:type="dxa"/>
            <w:vAlign w:val="bottom"/>
            <w:gridSpan w:val="2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1B.</w:t>
            </w:r>
          </w:p>
        </w:tc>
        <w:tc>
          <w:tcPr>
            <w:tcW w:w="2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UNRESOLVED STAFF COMMENTS</w:t>
            </w:r>
          </w:p>
        </w:tc>
        <w:tc>
          <w:tcPr>
            <w:tcW w:w="6320" w:type="dxa"/>
            <w:vAlign w:val="bottom"/>
            <w:gridSpan w:val="15"/>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6"/>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1C.</w:t>
            </w:r>
          </w:p>
        </w:tc>
        <w:tc>
          <w:tcPr>
            <w:tcW w:w="1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CYBERSECURITY</w:t>
            </w:r>
          </w:p>
        </w:tc>
        <w:tc>
          <w:tcPr>
            <w:tcW w:w="7640" w:type="dxa"/>
            <w:vAlign w:val="bottom"/>
            <w:gridSpan w:val="21"/>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0"/>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PROPERTIES</w:t>
            </w:r>
          </w:p>
        </w:tc>
        <w:tc>
          <w:tcPr>
            <w:tcW w:w="8060" w:type="dxa"/>
            <w:vAlign w:val="bottom"/>
            <w:gridSpan w:val="23"/>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0" w:type="dxa"/>
            <w:vAlign w:val="bottom"/>
            <w:gridSpan w:val="12"/>
          </w:tcPr>
          <w:p>
            <w:pPr>
              <w:ind w:left="3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18"/>
                <w:szCs w:val="18"/>
                <w:color w:val="0000FF"/>
                <w:w w:val="98"/>
              </w:rPr>
              <w:t>PURCHASES OF EQUITY SECURITIES</w:t>
            </w:r>
          </w:p>
        </w:tc>
        <w:tc>
          <w:tcPr>
            <w:tcW w:w="5080" w:type="dxa"/>
            <w:vAlign w:val="bottom"/>
            <w:tcBorders>
              <w:top w:val="single" w:sz="8" w:color="0000FF"/>
            </w:tcBorders>
            <w:gridSpan w:val="10"/>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8080" w:type="dxa"/>
            <w:vAlign w:val="bottom"/>
            <w:gridSpan w:val="24"/>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7A.</w:t>
            </w:r>
          </w:p>
        </w:tc>
        <w:tc>
          <w:tcPr>
            <w:tcW w:w="87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8.</w:t>
            </w:r>
          </w:p>
        </w:tc>
        <w:tc>
          <w:tcPr>
            <w:tcW w:w="44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6"/>
              </w:rPr>
              <w:t>FINANCIAL STATEMENTS AND SUPPLEMENTAL DATA</w:t>
            </w:r>
          </w:p>
        </w:tc>
        <w:tc>
          <w:tcPr>
            <w:tcW w:w="1580" w:type="dxa"/>
            <w:vAlign w:val="bottom"/>
            <w:tcBorders>
              <w:top w:val="single" w:sz="8" w:color="0000FF"/>
            </w:tcBorders>
            <w:gridSpan w:val="3"/>
          </w:tcPr>
          <w:p>
            <w:pPr>
              <w:spacing w:after="0"/>
              <w:rPr>
                <w:sz w:val="20"/>
                <w:szCs w:val="20"/>
                <w:color w:val="auto"/>
              </w:rPr>
            </w:pPr>
          </w:p>
        </w:tc>
        <w:tc>
          <w:tcPr>
            <w:tcW w:w="3060" w:type="dxa"/>
            <w:vAlign w:val="bottom"/>
            <w:gridSpan w:val="7"/>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9A.</w:t>
            </w:r>
          </w:p>
        </w:tc>
        <w:tc>
          <w:tcPr>
            <w:tcW w:w="2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6540" w:type="dxa"/>
            <w:vAlign w:val="bottom"/>
            <w:gridSpan w:val="16"/>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9B.</w:t>
            </w: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7240" w:type="dxa"/>
            <w:vAlign w:val="bottom"/>
            <w:gridSpan w:val="19"/>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9C.</w:t>
            </w:r>
          </w:p>
        </w:tc>
        <w:tc>
          <w:tcPr>
            <w:tcW w:w="6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2240" w:type="dxa"/>
            <w:vAlign w:val="bottom"/>
            <w:gridSpan w:val="6"/>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10.</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11.</w:t>
            </w:r>
          </w:p>
        </w:tc>
        <w:tc>
          <w:tcPr>
            <w:tcW w:w="57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400" w:type="dxa"/>
            <w:vAlign w:val="bottom"/>
            <w:gridSpan w:val="8"/>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8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18"/>
                <w:szCs w:val="18"/>
                <w:color w:val="0000FF"/>
              </w:rPr>
              <w:t>STOCKHOLDER MATTERS</w:t>
            </w:r>
          </w:p>
        </w:tc>
        <w:tc>
          <w:tcPr>
            <w:tcW w:w="1220" w:type="dxa"/>
            <w:vAlign w:val="bottom"/>
            <w:gridSpan w:val="4"/>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13.</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14.</w:t>
            </w:r>
          </w:p>
        </w:tc>
        <w:tc>
          <w:tcPr>
            <w:tcW w:w="7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20" w:type="dxa"/>
            <w:vAlign w:val="bottom"/>
            <w:gridSpan w:val="5"/>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5200" w:type="dxa"/>
            <w:vAlign w:val="bottom"/>
            <w:gridSpan w:val="12"/>
          </w:tcPr>
          <w:p>
            <w:pPr>
              <w:ind w:left="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16.</w:t>
            </w:r>
          </w:p>
        </w:tc>
        <w:tc>
          <w:tcPr>
            <w:tcW w:w="4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840" w:type="dxa"/>
            <w:vAlign w:val="bottom"/>
            <w:gridSpan w:val="11"/>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8" w:lineRule="exact"/>
        <w:rPr>
          <w:sz w:val="20"/>
          <w:szCs w:val="20"/>
          <w:color w:val="auto"/>
        </w:rPr>
      </w:pPr>
    </w:p>
    <w:p>
      <w:pPr>
        <w:jc w:val="both"/>
        <w:ind w:firstLine="485"/>
        <w:spacing w:after="0" w:line="251" w:lineRule="auto"/>
        <w:rPr>
          <w:sz w:val="20"/>
          <w:szCs w:val="20"/>
          <w:color w:val="auto"/>
        </w:rPr>
      </w:pPr>
      <w:r>
        <w:rPr>
          <w:rFonts w:ascii="Times New Roman" w:cs="Times New Roman" w:eastAsia="Times New Roman" w:hAnsi="Times New Roman"/>
          <w:sz w:val="18"/>
          <w:szCs w:val="18"/>
          <w:color w:val="auto"/>
        </w:rPr>
        <w:t>On March 26, 2025, we changed our jurisdiction of incorporation, domesticating as a corporation incorporated under the laws of the State of Delaware and discontinuing as a business company with limited liability incorporated under the laws of the British Virgin Islands (the “Domestication”). As a result of the Domestication, each of our issued and outstanding Class A ordinary shares (“BVI Class A Ordinary Shares”) and Class B ordinary shares (“BVI Class B Ordinary Shares,” and together with the BVI Class A Ordinary Shares, our “BVI Ordinary Shares”) and warrants to purchase Class A ordinary shares (“BVI Warrants”) automatically converted by operation of law, on a one-for-one basis, into shares of Class A common stock, shares of Class B common stock and warrants to purchase Class A common stock, respectively. Accordingly, all references to our BVI Ordinary Shares and BVI Warrants in prior filings have been retroactively renamed as “common stock” and “warrants”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defined elsewhere in this Annual Report on Form 10-K (this “Report”), the following terms shall be defined as follows:</w:t>
      </w:r>
    </w:p>
    <w:p>
      <w:pPr>
        <w:spacing w:after="0" w:line="21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“$8.63 Warrants” means warrants to purchase Class A common stock at an exercise price of $8.63 per share which warrants, when issued, had an exercise price of $11.50 which was reduced pursuant to the terms of the warrants consisting, as of the issuance date, of (a) 8,333,333 Public Warrants, (b) 333,333 warrants issued to Sponsor in exchange for CF V warrants purchased by Sponsor pursuant to the Forward Purchase Contract and (c) 200,000 warrants issued to Sponsor in exchange for warrants purchased by Sponsor in a private placement in connection with the Merger transaction.</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“Board” means the board of directors of Satellogic Inc.</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“Borrower” means Nettar Group Inc., a subsidiary of the Company.</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“BVI” means the British Virgin Islands.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“BVI Act” means the BVI Business Companies Act, (As Revised).</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“Cantor” means Cantor Fitzgerald L.P., a Delaware limited partnership and an affiliate of the Sponsor, CF&amp;Co. and, prior to the consummation of the Merger, CF V.</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“CF V” means CF Acquisition Corp. V, a Delaware corporation, now known as “Satellogic V. Inc.”</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“CF&amp;Co.” means Cantor Fitzgerald &amp; Co., a New York general partnership and an affiliate of the Sponsor.</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“CF Securities” means Cantor Fitzgerald Securities, a New York general partnership and an affiliate of the Sponsor.</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A common stock” means Class A common stock, par value $0.0001 per share.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B common stock” means Class B common stock, par value $0.0001 per share.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“Closing” means the closing of the Merger.</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“Company” means Satellogic Inc.</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“Columbia Loan” means the Loan and Security Agreement, dated March 8, 2021, by and between Columbia River Investment Limited, a BVI company, and us.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“Columbia Warrant” means the warrant issued to Columbia River Investment Limited pursuant to the Columbia Loan.</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“Common stock” means our Class A common stock and our Class B common stock, in the aggregate.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“EO” means Earth observation.</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“EO services” means geospatial intelligence, imagery and related data analytic products and services.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1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“Forward Purchase Contract” means that certain amendment and restatement of the forward purchase contract, dated January 28, 2021, by and between CF V and the Sponsor pursuant to which the Sponsor agreed to purchase, and we agreed to issue and sell to the Sponsor, 1,250,000 Class A common stock (subject to adjustment) and 333,333 warrants.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“GEO” means geostationary earth orbit satellites.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“Holder Representative” means Acquiom Agency Services LLC.</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“IRS” means the U.S. Internal Revenue Service.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“LEO” means low earth orbit satellites.</w:t>
      </w:r>
    </w:p>
    <w:p>
      <w:pPr>
        <w:spacing w:after="0" w:line="21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“Liberty Letter Agreement” means the Amended and Restated Letter Agreement, dated as of February 10, 2022 by and among Satellogic Inc., Liberty Strategic Capital (SATL) Holdings, LLC and CFAC Holdings V, LLC (incorporated by reference to Exhibit 10.16 to the Registration Statement on Form F-1 filed on February 14, 2022 (file no. 333-262699) and referenced as Exhibit 10.13 to this Report).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“MEO” means medium earth orbit satellites.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“Merger” means the Transactions consummated pursuant to the Merger Agreement.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“Nasdaq” means The Nasdaq Capital Market.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“NOAA” means the U.S. National Oceanic and Atmospheric Administration.</w:t>
      </w:r>
    </w:p>
    <w:p>
      <w:pPr>
        <w:spacing w:after="0" w:line="219"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“Note Purchase Agreement” means that certain Note Purchase Agreement, dated April 12, 2024, by and among the Company, the Borrower, the Holder Representative, and the Purchaser signatory thereto.</w:t>
      </w:r>
    </w:p>
    <w:p>
      <w:pPr>
        <w:spacing w:after="0" w:line="16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“PIPE Investment” means the sale of Class A common stock pursuant to PIPE Subscription Agreements in a private placement that occurred concurrently with the Closing.</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“PIPE Investors” means investors that subscribed for Class A common stock in the PIPE Investment.</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“PIPE Subscription Agreements” mean the Subscription Agreements, dated as of July 5, 2021, by and among CF V, the Company and the PIPE Investors.</w:t>
      </w:r>
    </w:p>
    <w:p>
      <w:pPr>
        <w:spacing w:after="0" w:line="16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“PIPE Warrant Agreement” means that certain Assignment, Assumption and Amendment Agreement, dated January 25, 2022, by and among the Company, CF V and Continental Stock Transfer &amp; Trust Company governing the PIPE Warrant, which amended the Public Warrant Agreement.</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“PIPE Warrant” means the warrants to acquire 2,500,000 shares of Class A common stock at a purchase price of $20.00 per share.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“Promissory Note Waiver Letter” means that certain Waiver Letter, dated January 18, 2022, by and between the Company and CF Securities.</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“Public Warrant Agreement” means that certain Warrant Agreement, dated January 28, 2021, by and between the Company and Continental Stock Transfer &amp; Trust Company governing the $8.63 Warrants.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“Public Warrants” means warrants to purchase our Class A common stock that are listed to trade publicly on Nasdaq.</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“Purchaser” means Tether Investments Limited.</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“R&amp;D” means research and development.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“SEC” means the United States Securities and Exchange Commission.</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“Secured Convertible Notes” means the $30 million in aggregate principal amount of floating rate secured convertible promissory notes issued pursuant to the Note Purchase Agreement.</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“Securities Act” means the United States Securities Act of 1933, as amended.</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“SOFR” means the Secured Overnight Financing Rate.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“SpaceX” means SpaceX Exploration Technologies Corp.</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8"/>
          <w:szCs w:val="18"/>
          <w:color w:val="auto"/>
        </w:rPr>
        <w:t>“SpaceX Agreement” means that certain Multi-Launch Agreement, dated April 5, 2022, by and between the Company and SpaceX, as the same may be amended, supplemented or otherwise modified from time to time.</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“Sponsor” means CFAC Holdings V, LLC, a Delaware limited liability company.</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“Transactions” means the transactions contemplated by the Merger Agreement or any of the ancillary agreements related thereto.</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“U.S. dollar,” “$” or “USD” each refers to the United States Dollar.</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“U.S. GAAP” means accounting principles generally accepted in the United States of America.</w:t>
      </w:r>
    </w:p>
    <w:p>
      <w:pPr>
        <w:spacing w:after="0" w:line="219"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8"/>
          <w:szCs w:val="18"/>
          <w:color w:val="auto"/>
        </w:rPr>
        <w:t>“Warrants” means, jointly, the Columbia Warrants, the PIPE Warrants, the Liberty Warrants, the Liberty Advisory Fee Warrant, and the $8.63 Warrants.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w:t>
      </w:r>
    </w:p>
    <w:p>
      <w:pPr>
        <w:spacing w:after="0" w:line="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Many actual events and circumstances are beyond the control of the Company. Many factors could cause actual future results to differ materially from the forward-looking statements in this Report, including but not limited to:</w:t>
      </w:r>
    </w:p>
    <w:p>
      <w:pPr>
        <w:spacing w:after="0" w:line="190" w:lineRule="exact"/>
        <w:rPr>
          <w:sz w:val="20"/>
          <w:szCs w:val="20"/>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as expected, including due to challenges created by macroeconomic concerns, geopolitical uncertainty (e.g., trade relationships), financial market fluctuations and related factors;</w:t>
      </w:r>
    </w:p>
    <w:p>
      <w:pPr>
        <w:spacing w:after="0" w:line="203" w:lineRule="exact"/>
        <w:rPr>
          <w:rFonts w:ascii="Times New Roman" w:cs="Times New Roman" w:eastAsia="Times New Roman" w:hAnsi="Times New Roman"/>
          <w:sz w:val="18"/>
          <w:szCs w:val="18"/>
          <w:color w:val="auto"/>
        </w:rPr>
      </w:pPr>
    </w:p>
    <w:p>
      <w:pPr>
        <w:ind w:left="640" w:hanging="314"/>
        <w:spacing w:after="0" w:line="243"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and sell our Earth observation (“EO”) services and to convert our pipeline of potential contracts into actual revenues;</w:t>
      </w:r>
    </w:p>
    <w:p>
      <w:pPr>
        <w:ind w:left="640" w:hanging="314"/>
        <w:spacing w:after="0" w:line="25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EO services and our dependence upon our ability to keep pace with the latest technological advances, including those related to artificial intelligence and machine learning;</w:t>
      </w:r>
    </w:p>
    <w:p>
      <w:pPr>
        <w:spacing w:after="0" w:line="197"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risks related to the Secured Convertible Notes (as defined below);</w:t>
      </w:r>
    </w:p>
    <w:p>
      <w:pPr>
        <w:spacing w:after="0" w:line="231"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largest customers;</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considerable time and expense related to our sales efforts and the length and unpredictability of our sales cycle;</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defense-related contracts;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pricing structure;</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production of our satellites as planned;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risks, challenges and uncertainties related to our expansion into new business lines;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SpaceX, to transport and launch our satellites into space;</w:t>
      </w:r>
    </w:p>
    <w:p>
      <w:pPr>
        <w:spacing w:after="0" w:line="245"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vendors and manufacturers to build and provide certain satellite components, products, or services, and the inability of these vendors and manufacturers to meet our needs;</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ground station and cloud-based computing infrastructure operated by third parties for value added services, and any errors, disruption, cybersecurity incidents, performance problems, or failure in their or our operational infrastructure;</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certain minimum service requirements in our customer contracts;</w:t>
      </w:r>
    </w:p>
    <w:p>
      <w:pPr>
        <w:spacing w:after="0" w:line="23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or consummate acquisitions on acceptable terms, or our ability to successfully integrate acquisitions;</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EO services;</w:t>
      </w:r>
    </w:p>
    <w:p>
      <w:pPr>
        <w:spacing w:after="0" w:line="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including the “One Big Beautiful Bill Act;”</w:t>
      </w:r>
    </w:p>
    <w:p>
      <w:pPr>
        <w:spacing w:after="0" w:line="5" w:lineRule="exact"/>
        <w:rPr>
          <w:rFonts w:ascii="Times New Roman" w:cs="Times New Roman" w:eastAsia="Times New Roman" w:hAnsi="Times New Roman"/>
          <w:sz w:val="18"/>
          <w:szCs w:val="18"/>
          <w:color w:val="auto"/>
        </w:rPr>
      </w:pPr>
    </w:p>
    <w:p>
      <w:pPr>
        <w:ind w:left="640" w:hanging="314"/>
        <w:spacing w:after="0" w:line="23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trade policy and the related impact on macroeconomic conditions, including further expansions of U.S. export controls and tariffs, as well as related retaliatory actions;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international operations or unexpected changes to the regulatory environment in certain markets;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defects or errors in our products;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capital-intensive nature of our business and our ability to raise adequate capital to finance our business strategies;</w:t>
      </w:r>
    </w:p>
    <w:p>
      <w:pPr>
        <w:spacing w:after="0" w:line="245"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beyond our control related to the production, launch, commissioning, and/or operation of our satellites and related ground systems, software and analytic technologies;</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market for EO services to achieve the growth potential we expect;</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satellites and related equipment becoming impaired;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of our satellites to operate as intended;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launch delays, launch failures, and damage or destruction to our satellites during launch;</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related to our insurance that may not be covered by insurance;</w:t>
      </w:r>
    </w:p>
    <w:p>
      <w:pPr>
        <w:spacing w:after="0" w:line="232" w:lineRule="exact"/>
        <w:rPr>
          <w:rFonts w:ascii="Times New Roman" w:cs="Times New Roman" w:eastAsia="Times New Roman" w:hAnsi="Times New Roman"/>
          <w:sz w:val="18"/>
          <w:szCs w:val="18"/>
          <w:color w:val="auto"/>
        </w:rPr>
      </w:pPr>
    </w:p>
    <w:p>
      <w:pPr>
        <w:ind w:left="640" w:hanging="314"/>
        <w:spacing w:after="0" w:line="25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unusual or prolonged unfavorable weather conditions, epidemic outbreaks, terrorist acts and geopolitical events (including the new conflicts in Iran and the Middle East) on our business and satellite launch schedules;</w:t>
      </w: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protect our intellectual property critical to the design and function of our satellites and our EO services; and</w:t>
      </w:r>
    </w:p>
    <w:p>
      <w:pPr>
        <w:spacing w:after="0" w:line="23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the anticipated benefits of our Domestication (as defined below) may not materialize.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Risks, uncertainties and events may cause actual results to differ materially from the expectations described in our forward-looking statements.</w:t>
      </w:r>
    </w:p>
    <w:p>
      <w:pPr>
        <w:spacing w:after="0" w:line="21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described in the Risk Factor Summary below, Part I, "Item 1A. Risk Factors" and Part II, "Item 7. Management's Discussion and Analysis of Financial Condition and Results of Operation" of this Report, as well as in our Consolidated Financial Statements, related notes, and the other information appearing in this Report and our other filings with the SEC.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spacing w:after="0" w:line="3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We believe our unmatched capacity and scale, our cost leadership and technical superiority, and our non-ITAR (International Traffic in Arms Regulations) design provides us with key competitive advantages.</w:t>
      </w:r>
    </w:p>
    <w:p>
      <w:pPr>
        <w:spacing w:after="0" w:line="18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Founded in 2010 by Emiliano Kargieman and Gerardo Richarte, Satellogic is a vertically integrated Earth observation company that designs, manufactures, and operates satellite systems, delivering decision-grade insights at scale to government and commercial customers. Through an end-to-end production and operations model, Satellogic provides governments with flexible options across their journey toward sovereign Earth observation. From access to high-frequency imagery and managed space systems to full satellite ownership, to supporting autonomous data availability and long-term technological independence.</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This integrated approach enables Satellogic to deploy satellites on predictable timelines and operate with capacity to support persistent coverage across large portfolios of sites. Satellogic enables continuous monitoring and alert-driven workflows that help defense and intelligence (“D&amp;I”) agencies, civil governments, and commercial operators move from reactive tasking to proactive decision-making, providing mission-critical data when it is needed.</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Unmatched Capacity and Scale</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Today’s EO data market is supply-constrained with customers demanding more data at lower costs. With 17 operational satellites and two satellites in commissioning as of December 31, 2025, we have one of the largest high-resolution constellations commercially available with the ability to significantly leverage existing, in-orbit capabilities as capacity and cost champions.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Radical Cost Leadership and Technical Superiority</w:t>
      </w:r>
    </w:p>
    <w:p>
      <w:pPr>
        <w:spacing w:after="0" w:line="22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Non-ITAR Design</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221"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color w:val="auto"/>
        </w:rPr>
        <w:t xml:space="preserve">Our strategy is focused along two distinct business lines: </w:t>
      </w:r>
      <w:r>
        <w:rPr>
          <w:rFonts w:ascii="Times New Roman" w:cs="Times New Roman" w:eastAsia="Times New Roman" w:hAnsi="Times New Roman"/>
          <w:sz w:val="18"/>
          <w:szCs w:val="18"/>
          <w:b w:val="1"/>
          <w:bCs w:val="1"/>
          <w:color w:val="auto"/>
        </w:rPr>
        <w:t>Data &amp; Analytics,</w:t>
      </w:r>
      <w:r>
        <w:rPr>
          <w:rFonts w:ascii="Times New Roman" w:cs="Times New Roman" w:eastAsia="Times New Roman" w:hAnsi="Times New Roman"/>
          <w:sz w:val="18"/>
          <w:szCs w:val="18"/>
          <w:color w:val="auto"/>
        </w:rPr>
        <w:t xml:space="preserve"> including tasking and archived data, Aleph Observer and Constellation as a Service (“CaaS”), and </w:t>
      </w:r>
      <w:r>
        <w:rPr>
          <w:rFonts w:ascii="Times New Roman" w:cs="Times New Roman" w:eastAsia="Times New Roman" w:hAnsi="Times New Roman"/>
          <w:sz w:val="18"/>
          <w:szCs w:val="18"/>
          <w:b w:val="1"/>
          <w:bCs w:val="1"/>
          <w:color w:val="auto"/>
        </w:rPr>
        <w:t>Space Systems</w:t>
      </w:r>
      <w:r>
        <w:rPr>
          <w:rFonts w:ascii="Times New Roman" w:cs="Times New Roman" w:eastAsia="Times New Roman" w:hAnsi="Times New Roman"/>
          <w:sz w:val="18"/>
          <w:szCs w:val="18"/>
          <w:color w:val="auto"/>
        </w:rPr>
        <w:t>. These two business lines will allow us to serve the existing EO market and begin to democratize access to a host of new EO customers.</w:t>
      </w:r>
    </w:p>
    <w:p>
      <w:pPr>
        <w:spacing w:after="0" w:line="174" w:lineRule="exact"/>
        <w:rPr>
          <w:sz w:val="20"/>
          <w:szCs w:val="20"/>
          <w:color w:val="auto"/>
        </w:rPr>
      </w:pPr>
    </w:p>
    <w:p>
      <w:pPr>
        <w:jc w:val="both"/>
        <w:ind w:firstLine="479"/>
        <w:spacing w:after="0" w:line="278" w:lineRule="auto"/>
        <w:rPr>
          <w:sz w:val="20"/>
          <w:szCs w:val="20"/>
          <w:color w:val="auto"/>
        </w:rPr>
      </w:pPr>
      <w:r>
        <w:rPr>
          <w:rFonts w:ascii="Times New Roman" w:cs="Times New Roman" w:eastAsia="Times New Roman" w:hAnsi="Times New Roman"/>
          <w:sz w:val="18"/>
          <w:szCs w:val="18"/>
          <w:color w:val="auto"/>
        </w:rPr>
        <w:t xml:space="preserve">We expect that the </w:t>
      </w:r>
      <w:r>
        <w:rPr>
          <w:rFonts w:ascii="Times New Roman" w:cs="Times New Roman" w:eastAsia="Times New Roman" w:hAnsi="Times New Roman"/>
          <w:sz w:val="18"/>
          <w:szCs w:val="18"/>
          <w:b w:val="1"/>
          <w:bCs w:val="1"/>
          <w:color w:val="auto"/>
        </w:rPr>
        <w:t>Data &amp; Analytics</w:t>
      </w:r>
      <w:r>
        <w:rPr>
          <w:rFonts w:ascii="Times New Roman" w:cs="Times New Roman" w:eastAsia="Times New Roman" w:hAnsi="Times New Roman"/>
          <w:sz w:val="18"/>
          <w:szCs w:val="18"/>
          <w:color w:val="auto"/>
        </w:rPr>
        <w:t xml:space="preserve"> business will continue to represent our most predictable revenue stream, and we anticipate that it will be a primary driver of the business going forward alongside Space Systems.</w:t>
      </w:r>
    </w:p>
    <w:p>
      <w:pPr>
        <w:spacing w:after="0" w:line="161"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Our newest product, Aleph Observer, represents a shift in how Earth observation is procured and used.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 in what was observed and what was not. Aleph Observer will also be a foundational platform within our Data &amp; Analytics business as Merlin, our AI-First constellation, comes online unlocking the ability to go from monitoring hundreds of sites to an unlimited number, potentially millions of sites daily in very high-resolution, constituting a true AI-powered platform for persistent geospatial intelligence at a global scale. By featuring built-in analytics, the Aleph Observer platform allows users to quickly evaluate large volumes of catalogued imagery, triage and summarize changes over time, prioritize analysts’ workflows and create a historical record and an essential training ground for AI models to power the next generation of geospatial intelligence. We believe this evolution will enable government and defense customers to shift from reactive monitoring to proactive intelligence in identifying emerging threats, while simultaneously providing commercial enterprises with a scalable, cost-effective foundational data layer that replaces traditional, comparatively expensive alternative data sources.</w:t>
      </w:r>
    </w:p>
    <w:p>
      <w:pPr>
        <w:spacing w:after="0" w:line="176"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Merlin, our AI-First constellation, is expected to launch its first satellite in the fourth quarter of 2026, and be fully operational in the first half of 2027. With Merlin, which is fully funded by existing customer contracts, we expect to leverage AI-powered, on-orbit analytics to deliver near real-time alerts and, through inter-satellite links, task the rest of Satellogic’s constellation to deliver a completely integrated, very high-resolution global broad area monitoring to enterprise and national security customers. In particular, we expect government and D&amp;I customers of our Aleph Observer site monitoring product to be able to extend their monitoring capacity from hundreds of sites per day to an unlimited number of sites, completing the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the capacity and cost champions for high-resolution imagery, we offer our customers flexible monitoring and multiple captures per day at low latency. Supported by patented intellectual property and vertical integration, we believe our integrated data &amp; analytics service represents a disruptive solution driven by radical unit economics that creates a considerable competitive moat. With the capabilities and capacity we have in orbit today, we can support a growing number of customers around the world.</w:t>
      </w:r>
    </w:p>
    <w:p>
      <w:pPr>
        <w:spacing w:after="0" w:line="180"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Space Systems</w:t>
      </w:r>
      <w:r>
        <w:rPr>
          <w:rFonts w:ascii="Times New Roman" w:cs="Times New Roman" w:eastAsia="Times New Roman" w:hAnsi="Times New Roman"/>
          <w:sz w:val="18"/>
          <w:szCs w:val="18"/>
          <w:color w:val="auto"/>
        </w:rPr>
        <w:t xml:space="preserve"> business offers unique solutions to sovereign customers or local partners with their own EO capabilities and in-orbit flight heritage at a disruptive price by leveraging our vertical integration and non-ITAR design. With rapid technology and knowledge transfer, as quickly as three to five months, our customers own, assemble and integrate their own satellites with operational support provided by us in their local AIT (Assembly, Integration and Test) facility. We anticipate our Data &amp; Analytics line of business will augment the capabilities of many of the Space Systems customers.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thousands) about our revenue by geography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r>
      <w:tr>
        <w:trPr>
          <w:trHeight w:val="233"/>
        </w:trPr>
        <w:tc>
          <w:tcPr>
            <w:tcW w:w="8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20"/>
                <w:szCs w:val="20"/>
                <w:color w:val="auto"/>
              </w:rPr>
            </w:pPr>
          </w:p>
        </w:tc>
      </w:tr>
      <w:tr>
        <w:trPr>
          <w:trHeight w:val="226"/>
        </w:trPr>
        <w:tc>
          <w:tcPr>
            <w:tcW w:w="82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0"/>
                <w:szCs w:val="20"/>
                <w:b w:val="1"/>
                <w:bCs w:val="1"/>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80" w:type="dxa"/>
            <w:vAlign w:val="bottom"/>
          </w:tcPr>
          <w:p>
            <w:pPr>
              <w:spacing w:after="0"/>
              <w:rPr>
                <w:sz w:val="20"/>
                <w:szCs w:val="20"/>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&amp; Asia Pacific</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2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17,707</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12,870</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 by geography is based on the geographical location of the customer.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1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Existing terrestrial methods and high-resolution satellites utilized for obtaining EO imagery have several critical shortcomings and have had limited commercial applicability to date. The manner in which actionable data is collected is extremely inefficient, very costly and not particularly scalable.</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satellites in sun-synchronous LEO are particularly well-positioned to collect data over the surface of the earth and provide high-quality awareness at scale by leveraging our existing very high-resolution capabilities and capacity, as augmented by Merlin, our AI-First constellation that will be operational in 2027, for broad area, persistent monitoring.</w:t>
      </w:r>
    </w:p>
    <w:p>
      <w:pPr>
        <w:spacing w:after="0" w:line="17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believe our legacy competitors operating high-resolution EO satellites today are not well-suited to do this because the technology they are utilizing is simply too expensive and the economic use case is not viable for broad area, persistent monitoring for existing government D&amp;I agencies and most commercial applications. In our view, traditional EO tasking is increasingly misaligned with how defense, intelligence, and security customers operate and simply does not translate for most commercial applications. Tasking optimizes for individual images, not for sustained awareness – customers must repeatedly submit collection requests, compete for capacity in high-priority regions, and manage large volumes of imagery manually. This creates operational overhead, intelligence gaps, and cost volatility, especially in regions where demand routinely exceeds supply. Our legacy competitors’ satellites must be tasked for specific customer demands and the imagery is priced relative to the cost of the underlying satellite, which is quite expensive.</w:t>
      </w:r>
    </w:p>
    <w:p>
      <w:pPr>
        <w:spacing w:after="0" w:line="18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also believe the transition from the existing and relatively small, defense-led market to a large global economic driver is predicated on a shift in how EO data is utilized. Historically, EO has been treated as a source of "snapshots" for forensic analysis—investigating events after they occur. By moving to a model of high-frequency, persistent monitoring, we believe EO data will evolve into a foundational layer of global digital infrastructure. Much like the Global Positioning System (“GPS”) transformed from a military tool into the invisible backbone of the modern economy, we believe daily, high-resolution remapping will allow commercial industries to move from reactive observations to proactive, real-time decision-making.</w:t>
      </w:r>
    </w:p>
    <w:p>
      <w:pPr>
        <w:spacing w:after="0" w:line="18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According to a recent analysis by the World Economic Forum, the EO sector is projected to contribute a cumulative $3.8 trillion to global gross domestic product (GDP) between 2023 and 2030. This growth is anticipated to be driven by productivity increases and cost avoidance across six key industries—Agriculture, Electricity and Utilities, Government, Insurance and Financial Services, Mining/Oil/Gas, and Supply Chain/Transportation—which are expected to generate 94% of this total value.</w:t>
      </w:r>
    </w:p>
    <w:p>
      <w:pPr>
        <w:spacing w:after="0" w:line="18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operate in the “NewSpace” sector, which refers to the increased commercialization and privatization of the space sector. There are a few NewSpace companies trying to build satellites for imaging at a low cost, but they essentially fall into two categories: they either do not have sufficient resolution or they are forced to effectively trade resolution for capacity. In either case, they are limited in terms of image capture. We believe we have addressed these problems through technology innovation and vertical integration.</w:t>
      </w:r>
    </w:p>
    <w:p>
      <w:pPr>
        <w:spacing w:after="0" w:line="18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Over the medium term, we plan to leverage our superior unit economics and technologies to remap the entire surface of the earth on a daily basis and, in doing so, we expect to completely reshape the business model for EO as well as a number of adjacent or alternative technologies being utilized today that are considerably less efficient (e.g., drones, helicopters, planes). By remapping the entire world every day, we expect to be able to deliver our data to customers at near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zero marginal cost, which will effectively allow us to price our data based upon the value we create in each customer’s value chain as opposed to the current model whereby the pricing is inextricably linked to the high cost of the satellite. This is what we believe will allow us to expand the market for EO.</w:t>
      </w:r>
    </w:p>
    <w:p>
      <w:pPr>
        <w:spacing w:after="0" w:line="163"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Beyond the EO market opportunity we continue to focus on addressing the growing market of satellite manufacturing and sales. This global market opportunity spans across both government and commercial organizations. Within the government segment, the opportunity covers both civil and unclassified defense programs. Recent market research estimates that the cumulative global manufacturing revenue for Earth Observation satellites will be approximately $31 billion in 2026 and will reach approximately $101 billion by 2034. Currently, approximately 95 countries and 130 commercial organizations have investments in EO-related programs, representing a significant and growing addressable market for our vertically integrated satellite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22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see the satellite imagery industry as mainly divided between incumbents and next generation companies offering electro-optical Earth imagery from space-based assets. Incumbent companies in the satellite imagery industry traditionally maintain a small fleet of large, expensive satellites. These satellites operate on a one-to-one tasking model, meaning each satellite is dedicated to fulfilling a single specific request at a time. These high-cost satellites typically capture very high-resolution imagery, primarily catering to the needs of national governments and established sectors that have traditionally relied on satellite imagery.</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contrast, we seek to develop and deploy satellites that are significantly less expensive and physically smaller than those used by the incumbent providers. We believe this enables us to rapidly and substantially grow the number of satellites we operate in Earth's orbit, establishing large constellations capable of frequent and comprehensive Earth observation at a fraction of the cost.</w:t>
      </w:r>
    </w:p>
    <w:p>
      <w:pPr>
        <w:spacing w:after="0" w:line="7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that we are well-positioned to compete with legacy satellite providers and NewSpace geospatial data providers by shifting the industry paradigm from raw data collection to actionable, AI-driven intelligence. Our competitive advantages revolve around unit economics, autonomous design and technology, a vertically integrated structure, an efficient build-to-launch cycle, and high frequency revisit and remaps. Key elements of our competitive advantages include the following:</w:t>
      </w:r>
    </w:p>
    <w:p>
      <w:pPr>
        <w:spacing w:after="0" w:line="71" w:lineRule="exact"/>
        <w:rPr>
          <w:sz w:val="20"/>
          <w:szCs w:val="20"/>
          <w:color w:val="auto"/>
        </w:rPr>
      </w:pPr>
    </w:p>
    <w:p>
      <w:pPr>
        <w:jc w:val="both"/>
        <w:ind w:left="960" w:hanging="315"/>
        <w:spacing w:after="0" w:line="251"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Superior unit economics. </w:t>
      </w:r>
      <w:r>
        <w:rPr>
          <w:rFonts w:ascii="Times New Roman" w:cs="Times New Roman" w:eastAsia="Times New Roman" w:hAnsi="Times New Roman"/>
          <w:sz w:val="18"/>
          <w:szCs w:val="18"/>
          <w:color w:val="auto"/>
        </w:rPr>
        <w:t>Our superior capture capacity, coupled with our radical cost leadership, results in industry-leading unit economics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our small satellite industry peers. We plan to put enough satellites in orbit to collect data over the entire surface of the planet continuously, and deliver this data to customers at near zero marginal costs. By delivering data to customers at near zero marginal cost, we expect to be able to price our services based on the value that we create for our customers within their value chain and not on the cost of data acquisition (e.g., satellite cost, launch). This is a critical element of our business model and what we believe to be a paradigm shift in high-resolution EO imagery that is made possible by our superior unit economics.</w:t>
      </w:r>
    </w:p>
    <w:p>
      <w:pPr>
        <w:spacing w:after="0" w:line="5" w:lineRule="exact"/>
        <w:rPr>
          <w:rFonts w:ascii="Times New Roman" w:cs="Times New Roman" w:eastAsia="Times New Roman" w:hAnsi="Times New Roman"/>
          <w:sz w:val="18"/>
          <w:szCs w:val="18"/>
          <w:color w:val="auto"/>
        </w:rPr>
      </w:pPr>
    </w:p>
    <w:p>
      <w:pPr>
        <w:jc w:val="both"/>
        <w:ind w:left="960" w:hanging="315"/>
        <w:spacing w:after="0" w:line="237" w:lineRule="auto"/>
        <w:tabs>
          <w:tab w:leader="none" w:pos="95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i w:val="1"/>
          <w:iCs w:val="1"/>
          <w:color w:val="auto"/>
        </w:rPr>
        <w:t xml:space="preserve">Superior design and technology. </w:t>
      </w:r>
      <w:r>
        <w:rPr>
          <w:rFonts w:ascii="Times New Roman" w:cs="Times New Roman" w:eastAsia="Times New Roman" w:hAnsi="Times New Roman"/>
          <w:sz w:val="18"/>
          <w:szCs w:val="18"/>
          <w:color w:val="auto"/>
        </w:rPr>
        <w:t>Our technology has evolved beyond traditional imagery to an “AI-First” architecture. Legacy satellite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operators rely on a telescope with a very large aperture, which is extremely expensive to build and launch. Conversely, our NewSpace competitors often trade-off resolution for capture capability. Our solution is centered around our patented and unique camera design that utilizes adaptive optics allowing us to collect approximately 10 times more data from orbit than any of our competitors using a smaller aperture. Furthermore, our 2025 NextGen platform introduces 30cm-class resolution and onboard edge computing, allowing for real-time AI processing directly on the satellite to deliver insights rather than just raw pixels.</w:t>
      </w:r>
    </w:p>
    <w:p>
      <w:pPr>
        <w:spacing w:after="0" w:line="84" w:lineRule="exact"/>
        <w:rPr>
          <w:rFonts w:ascii="Arial" w:cs="Arial" w:eastAsia="Arial" w:hAnsi="Arial"/>
          <w:sz w:val="21"/>
          <w:szCs w:val="21"/>
          <w:color w:val="auto"/>
        </w:rPr>
      </w:pPr>
    </w:p>
    <w:p>
      <w:pPr>
        <w:jc w:val="both"/>
        <w:ind w:left="960" w:hanging="315"/>
        <w:spacing w:after="0" w:line="253"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w:t>
      </w:r>
      <w:r>
        <w:rPr>
          <w:rFonts w:ascii="Times New Roman" w:cs="Times New Roman" w:eastAsia="Times New Roman" w:hAnsi="Times New Roman"/>
          <w:sz w:val="18"/>
          <w:szCs w:val="18"/>
          <w:color w:val="auto"/>
        </w:rPr>
        <w:t>We are a vertically integrated company, and we design our satellites and all of their subsystems, including onboard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computers, propulsion system, telescopes, cameras, radios, sensors and actuators. This vertical integration allows us to serve the growing demand for sovereign space programs, offering nations full ownership and operational control of their own constellations. By designing every core component with our specific mission in mind and leveraging our unique operating model, we achieved a meaningfully lower bill of material costs than our competitors. Our cost to deploy a Mark V high-resolution imaging satellite in orbit today, including launch costs, is approximately $1.3 million compared to much higher costs for our NewSpace competitors.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960" w:hanging="315"/>
        <w:spacing w:after="0" w:line="255"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Efficient build-to-launch cycle. </w:t>
      </w:r>
      <w:r>
        <w:rPr>
          <w:rFonts w:ascii="Times New Roman" w:cs="Times New Roman" w:eastAsia="Times New Roman" w:hAnsi="Times New Roman"/>
          <w:sz w:val="18"/>
          <w:szCs w:val="18"/>
          <w:color w:val="auto"/>
        </w:rPr>
        <w:t>Our fast build-to-launch cycles allow us to go from a signed contract to a satellite delivered in orbit in less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eight months, a first in this industry. We also have the ability to transfer ownership of satellites currently in orbit within days, if required by the customer. The fast turn-around and the appealing technical characteristics of our satellites paired with their low cost create a valuable alternative for customers looking to increase their in-orbit capacity quickly, or for customers looking to build an inventory of assets to lower response times in the face of emergency.</w:t>
      </w:r>
    </w:p>
    <w:p>
      <w:pPr>
        <w:spacing w:after="0" w:line="71" w:lineRule="exact"/>
        <w:rPr>
          <w:rFonts w:ascii="Times New Roman" w:cs="Times New Roman" w:eastAsia="Times New Roman" w:hAnsi="Times New Roman"/>
          <w:sz w:val="18"/>
          <w:szCs w:val="18"/>
          <w:color w:val="auto"/>
        </w:rPr>
      </w:pPr>
    </w:p>
    <w:p>
      <w:pPr>
        <w:jc w:val="both"/>
        <w:ind w:left="960" w:hanging="315"/>
        <w:spacing w:after="0" w:line="258" w:lineRule="auto"/>
        <w:tabs>
          <w:tab w:leader="none" w:pos="9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High frequency monitoring and remaps. </w:t>
      </w:r>
      <w:r>
        <w:rPr>
          <w:rFonts w:ascii="Times New Roman" w:cs="Times New Roman" w:eastAsia="Times New Roman" w:hAnsi="Times New Roman"/>
          <w:sz w:val="18"/>
          <w:szCs w:val="18"/>
          <w:color w:val="auto"/>
        </w:rPr>
        <w:t>When we reach global remaps, we expect to provide a significant portion of the supply of high-resolution imagery in the market at near zero marginal cost. However, our value proposition now extends to “AI-First monitoring,” where we provide daily revisits of priority regions for strategic customers. We believe that the archive of everything that is happening on the planet, coupled with real-time onboard processing, will allow us, our partners and customers to train better artificial intelligence (“AI”) algorithms.</w:t>
      </w:r>
    </w:p>
    <w:p>
      <w:pPr>
        <w:spacing w:after="0" w:line="17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believe that these characteristics—the near zero marginal cost for data distribution, the move toward sovereign satellite programs, and the shift from reactive tasking to proactive, persistent monitoring—will uniquely position us to capitalize on the significant total addressable market (“TAM”) opportunities.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plan to democratize access to geospatial data by providing planetary insights at what we believe to be the lowest cost in the industry, which we expect will ultimately drive better decision-making across a broad range of industries. Our growth strategy is focused along our two business lines: Data &amp; Analytics and Space Systems and is driven by the following objectives:</w:t>
      </w:r>
    </w:p>
    <w:p>
      <w:pPr>
        <w:spacing w:after="0" w:line="70" w:lineRule="exact"/>
        <w:rPr>
          <w:sz w:val="20"/>
          <w:szCs w:val="20"/>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expertise in low-cost manufacturing of EO satellites for sale into high-growth government markets across Asia, Africa, Middle East, Europe and South America.</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opportunities within the U.S. market, including competing for USG and allied contracts, which we believe we are well positioned for following our Domestication.</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AI-powered, on-orbit analytics to deliver proactive intelligence through our Aleph Observer product and our upcoming Merlin constellation.</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high-resolution EO market, providing access to data for the commercial market via foundational data intelligence for specific enterprise use cases where alternative sources are currently difficult to scale.</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R&amp;D to innovate product offerings and satellite re-design, including our newest high-resolution satellite platform, NextGen, introduced in October 2025 to meet global demand for sovereign space capabilities.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modular satellite design, multiple-payload systems, scaled manufacturing and satellite operations to deliver novel data streams and services from orbit.</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and partnerships to enhance our go-to-market ("GTM") strategy, such as our partnerships with Vantor and Suhora Technologies while seeking complementary technologies and further vertical integration within our supply chain.</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Through our products and service offerings, we intend to derive substantially all of our near-term revenues by providing EO services, satellite sales and related services to governments and D&amp;I customers. In the medium term, we intend to expand our operations to serve commercial customers in a variety of markets and industries. We maintain a focus on controlling growth in our workforce and capital expenditures to preserve liquidity while expanding these global sales and engineering efforts.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high-resolution EO market (Government and D&amp;I)</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receipt of government and D&amp;I contracts is part of our growth strategy. The existing high-resolution EO market is predominantly composed of government and D&amp;I customers. We can serve these customers today with our fleet of 19 satellites currently in orbit, of which 18 satellites are operational, and one is being used for testing. The existing high-resolution EO market is supply-limited as a consequence of global capacity constraints and increasing demand. As a result, we have been successful in building a strong pipeline for the existing EO market. Our pipeline consists of contracts which are in negotiations or early discussions, and we can offer no assurances that such negotiations or discussions will result in 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signed contract or any revenue. Many of these customers tend to buy through large, multi-year contracts and typically through a multi-step, outbound sales cycle.</w:t>
      </w:r>
    </w:p>
    <w:p>
      <w:pPr>
        <w:spacing w:after="0" w:line="5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that most of these customers are interested in data that can be delivered with low latency and very high quality across our two lines of business, which we are well positioned to deliver. Additionally, the persistent monitoring capability of Aleph Observer currently enables ongoing monitoring and situational awareness across hundreds of sites daily inside a customer’s area of interest with predictable delivery. Once the upcoming Merlin constellation is operational, the monitoring capabilities of Aleph Observer will extend seamlessly to an unlimited number of sites.</w:t>
      </w:r>
    </w:p>
    <w:p>
      <w:pPr>
        <w:spacing w:after="0" w:line="31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Space Systems, our line of business which we believe presents a substantial growth opportunity, is designed to enable us to sell our satellites directly to select customers to whom satellite ownership is important. We believe our strong intellectual property and technology portfolio, fast build-to-launch cycles, and lower cost of ownership, provides an attractive offer for our customers looking to increase their in-orbit capacity quickly, or for customers looking to build an inventory of assets to lower response times in the face of an emergency. Although this line of business has inherent risks as discussed in Item 1A. “Risk Factors,” we believe that Space Systems will enhance our ability to effectively compete in the existing EO market.</w:t>
      </w:r>
    </w:p>
    <w:p>
      <w:pPr>
        <w:spacing w:after="0" w:line="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October 2025, we introduced our new NextGen platform. Featuring a non-ITAR design, 30 centimeter class resolution across all visible and multispectral bands, as well as AI-enabled analytics processed directly on orbit, NextGen's system represents a significant advancement in autonomous Earth observation. By moving analytics closer to the sensor, the platform allows governments and operators to detect changes on the ground in near real time and act on emerging threats or opportunities without delay. NextGen is expected to be operational in 2028.</w:t>
      </w:r>
    </w:p>
    <w:p>
      <w:pPr>
        <w:spacing w:after="0" w:line="7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approaching this market through direct sales as well as a network of distributors and partnerships in strategic regions across the globe. We expect this market will reflect the majority of our revenue for the next two to three years and provide operational cash flow to assist in financing our constellation.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Applications</w:t>
      </w:r>
    </w:p>
    <w:p>
      <w:pPr>
        <w:spacing w:after="0" w:line="116"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Our longer-term strategy will also focus on commercial applications, which we expect will take full advantage of our constellation’s ability to capture imagery at high frequency and build a catalog of the entire planet. This is a Data as a Service (“DaaS”) application through which we plan to offer customers the ability to purchase imagery and data analytics specific to their vertical market (e.g., agriculture, forestry, energy, financial services, cartography). We expect our DaaS economics will allow us to charge customers according to the value our data provides within each customer’s value chain. We expect these applications will allow us to expand the current addressable market for high-resolution EO data and unlock a significant TAM opportunity.</w:t>
      </w:r>
    </w:p>
    <w:p>
      <w:pPr>
        <w:spacing w:after="0" w:line="17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have conducted a number of pilot trials that we believe validate our solutions in a variety of verticals and demonstrate that our solutions can successfully replace other sources of data currently being provided by airplanes, drones, helicopters, IoT sensor networks, etc.</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153035</wp:posOffset>
            </wp:positionV>
            <wp:extent cx="4251960" cy="2789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1960" cy="278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0" w:hanging="315"/>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 through launch</w:t>
      </w:r>
    </w:p>
    <w:p>
      <w:pPr>
        <w:spacing w:after="0" w:line="114"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iteration between product innovation, production and launch</w:t>
      </w:r>
    </w:p>
    <w:p>
      <w:pPr>
        <w:spacing w:after="0" w:line="112"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the design to manufacturing helps eliminate third-party costs</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In-orbit operations</w:t>
      </w:r>
    </w:p>
    <w:p>
      <w:pPr>
        <w:spacing w:after="0" w:line="114"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and control data capture of the earth’s surface</w:t>
      </w:r>
    </w:p>
    <w:p>
      <w:pPr>
        <w:spacing w:after="0" w:line="112"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third-party ground station infrastructure for global coverage and to reduce costs</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Imagery and Solutions commercialization</w:t>
      </w:r>
    </w:p>
    <w:p>
      <w:pPr>
        <w:spacing w:after="0" w:line="114"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 and own high-resolution imagery of the entire Earth. Unconstrained use of imagery</w:t>
      </w:r>
    </w:p>
    <w:p>
      <w:pPr>
        <w:spacing w:after="0" w:line="112" w:lineRule="exact"/>
        <w:rPr>
          <w:rFonts w:ascii="Times New Roman" w:cs="Times New Roman" w:eastAsia="Times New Roman" w:hAnsi="Times New Roman"/>
          <w:sz w:val="18"/>
          <w:szCs w:val="18"/>
          <w:color w:val="auto"/>
        </w:rPr>
      </w:pPr>
    </w:p>
    <w:p>
      <w:pPr>
        <w:ind w:left="1440" w:hanging="315"/>
        <w:spacing w:after="0"/>
        <w:tabs>
          <w:tab w:leader="none" w:pos="1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internal data science capabilities to transform images into insights</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believe that vertical integration across design, manufacturing and operations produces efficiencies up and down the value chain, which allows us to reduce intermediary costs, control quality and scale up more quickly.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As of December 31, 2025, we had 154 full-time employees globally, which includes 84 employees in Argentina (mostly involved in R&amp;D, finance, and accounting), 23 in Spain, 29 in Uruguay (mostly involved in manufacturing), 12 in the U.S. and 6 in other countries.</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always focused on attracting and retaining the best talent with the highest possible cultural alignment. Our geographically-distributed nature is a core tenet that reaches back to the earliest days of Satellogic; well in advance of the rise of work-from-home arrangements in recent years. Our diverse group of employees earnestly shares these common values:</w:t>
      </w:r>
    </w:p>
    <w:p>
      <w:pPr>
        <w:spacing w:after="0" w:line="68" w:lineRule="exact"/>
        <w:rPr>
          <w:sz w:val="20"/>
          <w:szCs w:val="20"/>
          <w:color w:val="auto"/>
        </w:rPr>
      </w:pPr>
    </w:p>
    <w:p>
      <w:pPr>
        <w:ind w:left="960" w:hanging="315"/>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Get it done</w:t>
      </w:r>
      <w:r>
        <w:rPr>
          <w:rFonts w:ascii="Times New Roman" w:cs="Times New Roman" w:eastAsia="Times New Roman" w:hAnsi="Times New Roman"/>
          <w:sz w:val="18"/>
          <w:szCs w:val="18"/>
          <w:color w:val="auto"/>
        </w:rPr>
        <w:t>. Our relentless commitment to hold ourselves accountable and deliver true value.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 purpose driven</w:t>
      </w:r>
      <w:r>
        <w:rPr>
          <w:rFonts w:ascii="Times New Roman" w:cs="Times New Roman" w:eastAsia="Times New Roman" w:hAnsi="Times New Roman"/>
          <w:sz w:val="18"/>
          <w:szCs w:val="18"/>
          <w:color w:val="auto"/>
        </w:rPr>
        <w:t>. Our intrinsic motivation to make the impossible possible.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Never stop learning</w:t>
      </w:r>
      <w:r>
        <w:rPr>
          <w:rFonts w:ascii="Times New Roman" w:cs="Times New Roman" w:eastAsia="Times New Roman" w:hAnsi="Times New Roman"/>
          <w:sz w:val="18"/>
          <w:szCs w:val="18"/>
          <w:color w:val="auto"/>
        </w:rPr>
        <w:t>. Be intellectually curious, open-minded, and learn from others.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Push the limits</w:t>
      </w:r>
      <w:r>
        <w:rPr>
          <w:rFonts w:ascii="Times New Roman" w:cs="Times New Roman" w:eastAsia="Times New Roman" w:hAnsi="Times New Roman"/>
          <w:sz w:val="18"/>
          <w:szCs w:val="18"/>
          <w:color w:val="auto"/>
        </w:rPr>
        <w:t>. Challenge the status quo, leave your comfort zone and tackle impossible challenges.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 w:hanging="315"/>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 beyond ego</w:t>
      </w:r>
      <w:r>
        <w:rPr>
          <w:rFonts w:ascii="Times New Roman" w:cs="Times New Roman" w:eastAsia="Times New Roman" w:hAnsi="Times New Roman"/>
          <w:sz w:val="18"/>
          <w:szCs w:val="18"/>
          <w:color w:val="auto"/>
        </w:rPr>
        <w:t>. Be humble, honest and empathetic and build together for our company, our community and our planet.</w:t>
      </w:r>
    </w:p>
    <w:p>
      <w:pPr>
        <w:spacing w:after="0" w:line="2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At Satellogic, these values precede traditional performance measures when assessing a person’s fit with us. Our vision inherently challenges conventions, and thus requires a special kind of spirit not only to succeed, but even to take on these challenges in the first place. This approach to human capital has enabled us to grow while keeping our core spirit and sense of purpose throughout the twists and turns of our life cycle.</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committed to developing all of our people in different dimensions, including programmatic leadership, people leadership, business leadership and technological leadership. We actively promote a trust-based organization and a safe environment for risk taking by providing effective mentorship and expecting people to “disagree and commit”.</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During the early years of our company, the founders and the senior leaders were the torchbearers of these values and culture, but our expectation is that every leader, which is to say every employee, subscribes to and lives by these values every day.</w:t>
      </w:r>
    </w:p>
    <w:p>
      <w:pPr>
        <w:spacing w:after="0" w:line="16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None of our employees are represented by a labor union, though in some countries our employees may be subject to industry-wide collective bargaining agreements as a matter of law. We have not had any work stoppages and we consider our relations with our employees to be good.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16" w:lineRule="exact"/>
        <w:rPr>
          <w:sz w:val="20"/>
          <w:szCs w:val="20"/>
          <w:color w:val="auto"/>
        </w:rPr>
      </w:pPr>
    </w:p>
    <w:p>
      <w:pPr>
        <w:jc w:val="both"/>
        <w:ind w:firstLine="479"/>
        <w:spacing w:after="0" w:line="306" w:lineRule="auto"/>
        <w:rPr>
          <w:sz w:val="20"/>
          <w:szCs w:val="20"/>
          <w:color w:val="auto"/>
        </w:rPr>
      </w:pPr>
      <w:r>
        <w:rPr>
          <w:rFonts w:ascii="Times New Roman" w:cs="Times New Roman" w:eastAsia="Times New Roman" w:hAnsi="Times New Roman"/>
          <w:sz w:val="17"/>
          <w:szCs w:val="17"/>
          <w:color w:val="auto"/>
        </w:rPr>
        <w:t>Our sales strategy has evolved from providing satellite imagery to offering a full range of products for government, defense, and commercial customers. Following our 2025 move to become a U.S.-based company, we have focused on expanding our reach within the U.S. and with international allies.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Defense</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provide governments with a path to their own space capabilities. This ranges from simple data access to the sale of entire satellites.</w:t>
      </w:r>
    </w:p>
    <w:p>
      <w:pPr>
        <w:spacing w:after="0" w:line="232" w:lineRule="exact"/>
        <w:rPr>
          <w:sz w:val="20"/>
          <w:szCs w:val="20"/>
          <w:color w:val="auto"/>
        </w:rPr>
      </w:pPr>
    </w:p>
    <w:p>
      <w:pPr>
        <w:ind w:left="640" w:hanging="314"/>
        <w:spacing w:after="0" w:line="27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Systems: We sell dedicated satellites directly to national governments. Recent progress includes major contracts with Portugal and Albania, allowing these nations to manage their own orbital assets.</w:t>
      </w:r>
    </w:p>
    <w:p>
      <w:pPr>
        <w:spacing w:after="0" w:line="176"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Monitoring: With the 2026 launch of our Aleph Observer product, we have shifted our marketing toward continuous (persistent), "always-on" monitoring for security and national defense.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Ecosystem Strategy</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scale our business, we use a global network of partners and a simplified contract structure to reach more customers.</w:t>
      </w:r>
    </w:p>
    <w:p>
      <w:pPr>
        <w:spacing w:after="0" w:line="232" w:lineRule="exact"/>
        <w:rPr>
          <w:sz w:val="20"/>
          <w:szCs w:val="20"/>
          <w:color w:val="auto"/>
        </w:rPr>
      </w:pPr>
    </w:p>
    <w:p>
      <w:pPr>
        <w:jc w:val="both"/>
        <w:ind w:left="640" w:hanging="314"/>
        <w:spacing w:after="0" w:line="25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We leverage a global network of resellers and service providers to scale capabilities and reach. This includes significant regional agreements, such as our multi-year partnerships with Suhora in India and Vantor in the United States, to provide data access to government and commercial users.</w:t>
      </w:r>
    </w:p>
    <w:p>
      <w:pPr>
        <w:spacing w:after="0" w:line="197" w:lineRule="exact"/>
        <w:rPr>
          <w:rFonts w:ascii="Times New Roman" w:cs="Times New Roman" w:eastAsia="Times New Roman" w:hAnsi="Times New Roman"/>
          <w:sz w:val="18"/>
          <w:szCs w:val="18"/>
          <w:color w:val="auto"/>
        </w:rPr>
      </w:pPr>
    </w:p>
    <w:p>
      <w:pPr>
        <w:ind w:left="640" w:hanging="314"/>
        <w:spacing w:after="0" w:line="306"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Aleph Platform: We have developed an easy-to-use web platform and automated tools (APIs) that allow customers to book satellite time directly. This "self-service" model helps commercial users in industries like agriculture and energy get the data they need quickly and transparently.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16"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8"/>
          <w:szCs w:val="18"/>
          <w:color w:val="auto"/>
        </w:rPr>
        <w:t>In the near term, we intend to derive our revenue from providing data and analytics and space systems sales, including individual satellites or turn key space programs. Our customers include government, D&amp;I and commercial customers in a variety of markets and industries.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currently dependent on a small number of customers for our revenue. For example:</w:t>
      </w:r>
    </w:p>
    <w:p>
      <w:pPr>
        <w:spacing w:after="0" w:line="219" w:lineRule="exact"/>
        <w:rPr>
          <w:sz w:val="20"/>
          <w:szCs w:val="20"/>
          <w:color w:val="auto"/>
        </w:rPr>
      </w:pPr>
    </w:p>
    <w:p>
      <w:pPr>
        <w:jc w:val="both"/>
        <w:ind w:left="640" w:hanging="314"/>
        <w:spacing w:after="0" w:line="26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we entered into a five-year noncancellable agreement with a technology company that requires the customer to purchase a minimum of $4.0 million of multispectral, hyperspectral, full-motion video and private delivery uplift products each year. The customer pays us in non-cash consideration in the form of 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8"/>
          <w:szCs w:val="18"/>
          <w:color w:val="auto"/>
        </w:rPr>
        <w:t>license to a proprietary software platform, which we use for internal operations. During 2025, we recognized $4.4 million in revenue from this customer.</w:t>
      </w:r>
    </w:p>
    <w:p>
      <w:pPr>
        <w:spacing w:after="0" w:line="163" w:lineRule="exact"/>
        <w:rPr>
          <w:sz w:val="20"/>
          <w:szCs w:val="20"/>
          <w:color w:val="auto"/>
        </w:rPr>
      </w:pPr>
    </w:p>
    <w:p>
      <w:pPr>
        <w:ind w:left="640" w:hanging="314"/>
        <w:spacing w:after="0" w:line="27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we entered into a $6 million, three-year, constellation-as-a-service agreement. Recognition of revenue under this contract began in the first quarter of 2023 with the initiation of service. In January 2026, we renewed the contract for an additional 11 months.</w:t>
      </w:r>
    </w:p>
    <w:p>
      <w:pPr>
        <w:spacing w:after="0" w:line="202" w:lineRule="exact"/>
        <w:rPr>
          <w:rFonts w:ascii="Times New Roman" w:cs="Times New Roman" w:eastAsia="Times New Roman" w:hAnsi="Times New Roman"/>
          <w:sz w:val="18"/>
          <w:szCs w:val="18"/>
          <w:color w:val="auto"/>
        </w:rPr>
      </w:pPr>
    </w:p>
    <w:p>
      <w:pPr>
        <w:jc w:val="both"/>
        <w:ind w:left="640" w:hanging="314"/>
        <w:spacing w:after="0" w:line="241"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In December 2024, we entered into a data license and distribution agreement with Maxar Intelligence (now Vantor), a peer in the EO industry and with longstanding partnerships with the U.S. government and its allies. Under this arrangement, we granted them exclusivity to be our distributor to the U.S. government D&amp;I agencies and selected international D&amp;I partners.</w:t>
      </w:r>
    </w:p>
    <w:p>
      <w:pPr>
        <w:spacing w:after="0" w:line="193" w:lineRule="exact"/>
        <w:rPr>
          <w:rFonts w:ascii="Arial" w:cs="Arial" w:eastAsia="Arial" w:hAnsi="Arial"/>
          <w:sz w:val="21"/>
          <w:szCs w:val="21"/>
          <w:color w:val="auto"/>
        </w:rPr>
      </w:pPr>
    </w:p>
    <w:p>
      <w:pPr>
        <w:jc w:val="both"/>
        <w:ind w:left="640" w:hanging="314"/>
        <w:spacing w:after="0" w:line="26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were awarded a multi-year contract valued at $30 million with a strategic international defense and security customer. Under this agreement, we will provide near-daily, multiband optical imagery and ultra-low latency analytics leveraging our AI-First satellite constellation, with revenue on the contract expected in 2027.</w:t>
      </w:r>
    </w:p>
    <w:p>
      <w:pPr>
        <w:spacing w:after="0" w:line="176"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Company entered into a seven-figure strategic, multi-year agreement with Suhora, a leader in dual-use Intelligence, Surveillance, and Reconnaissance (“ISR”) technologies. This agreement grants Suhora exclusive rights to distribute the Company's high-resolution Earth observation data and services in India and Nepal.</w:t>
      </w:r>
    </w:p>
    <w:p>
      <w:pPr>
        <w:spacing w:after="0" w:line="176" w:lineRule="exact"/>
        <w:rPr>
          <w:rFonts w:ascii="Times New Roman" w:cs="Times New Roman" w:eastAsia="Times New Roman" w:hAnsi="Times New Roman"/>
          <w:sz w:val="18"/>
          <w:szCs w:val="18"/>
          <w:color w:val="auto"/>
        </w:rPr>
      </w:pPr>
    </w:p>
    <w:p>
      <w:pPr>
        <w:jc w:val="both"/>
        <w:ind w:left="640" w:hanging="314"/>
        <w:spacing w:after="0" w:line="25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Company entered into an $18 million agreement with the Centre of Engineering and Product Development in Portugal (“CEiiA”) to supply and deliver two NewSat Mark V 50cm-class imaging satellites for the Portuguese component of the Atlantic Constellation. This partnership leverages the Company’s vertically integrated production to provide Portugal with autonomous, sovereign Earth observation capabilities and a comprehensive knowledge transfer program with the planned transfer to occur in Q2 2026.</w:t>
      </w:r>
    </w:p>
    <w:p>
      <w:pPr>
        <w:spacing w:after="0" w:line="18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business is generally engaged in manufacturing activities and has near-term exposure to fluctuations in the supply of raw materials. We design the systems, subsystems and core components and technologies that go into creating and manufacturing our satellites. We manufacture many of our components, but we also partner with third parties to manufacture certain other components to our design specifications. We then assemble, integrate and test the components and satellites in our facilities. We have a global supply chain of upstream and downstream partners including manufacturers, suppliers and launch providers from a number of countries including the United States. Certain aspects of our manufacturing activities require relatively scarce raw materials or specialty component parts; occasionally, we have experienced difficulty in our ability to procure raw materials, components, sub-assemblies and other supplies required in our manufacturing processes. We bear some risk of supply chain delivery issues and price increases on account of the structure of our vendor contracts.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Providers</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With respect to launch providers, our partner selection process typically revolves around availability and cost. In January 2021, we signed a Rideshare Multi-Launch Agreement with SpaceX (the “SpaceX Agreement”), our preferred rideshare launch provider, and we expect to continue our launch program with SpaceX as we engage with and consider alternative launch providers. In April 2022, we secured launch capacity for our next 68 launches with SpaceX, via the SpaceX Agreement. At December 31, 2025, we had 42 launch slots remaining and we continue to work with this rideshare launch provider to schedule upcoming satellite launches.</w:t>
      </w:r>
    </w:p>
    <w:p>
      <w:pPr>
        <w:spacing w:after="0" w:line="18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For every launch, a joint launch campaign is performed at the launch provider’s facility that includes our team, the launch service provider and, in some cases, a third-party separation systems supplier. We provide all the necessary equipment and personnel to test and prepare the satellites for launch while the launch service provider and, if applicable, the third-party separation systems supplier, provide the necessary machinery and personnel to integrate the satellites into the launch vehicle. Once these joint operations are complete, the launch service supplier executes the launch and delivers the satellites into the desired orbit, and we begin the regular, in-orbit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Ground Station and Cloud Storage Infrastructure</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primarily utilize third parties today for ground station, processing, and storage infrastructure. As our business grows, we will continue to monitor the advantages and disadvantages of our outsourced model and may decide to vertically integrate one of more of these functions in the future.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Satellites and Technology</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 vertically integrated company that designs, manufactures, integrates and operates our own high-resolution imaging satellites, and the image processing pipeline necessary to deliver services to our customers, including images and value-added layers of semantic data. We have innovative technology in every segment of our vertical integration: satellite components, satellite subsystems, satellite systems design, satellite integration and testing, satellite operations, image processing and data delivery.</w:t>
      </w:r>
    </w:p>
    <w:p>
      <w:pPr>
        <w:spacing w:after="0" w:line="18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Our approach towards component selection and design includes the extensive use of commercial off-the-shelf components (“COTS”) and modified-COTS, proprietary component selection and screening methods, and the systematic replacement of expensive hardware using smarter software.</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unique camera design uses a closed-loop stabilization system and adaptive optics to enable continuous collection of high-resolution imagery from a small-telescope aperture. This patented design is one of the cornerstones of our unit-economics differentiation, allowing us to collect over 10 times more data than any other small-satellite design, and giving us great flexibility to operate our satellites under varying conditions of lighting, altitude and platform stability.</w:t>
      </w:r>
    </w:p>
    <w:p>
      <w:pPr>
        <w:spacing w:after="0" w:line="182"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Our success depends in part upon our ability to protect our core technology and intellectual property. To protect our proprietary rights and technology, we rely on a combination of different types of intellectual property rights including patents, trademarks and trade secrets, as well as confidentiality agreements and license agreements with consultants, vendors and customers. As of the date of this Report, we have 45 issued patents, 2 utility models and 40 pending patent applications in 11 jurisdictions. We continue to invest in research and development to design, manufacture and fly new technology to orbit in every new satellite we launch, and we complete every new satellite design on a full design cycle of nine months. We drive technology R&amp;D with the goal of maintaining our high-resolution imaging satellites in a Moore’s law equivalent curve: roughly doubling capacity every 18 months at the same price point.</w:t>
      </w:r>
    </w:p>
    <w:p>
      <w:pPr>
        <w:spacing w:after="0" w:line="171"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As of the date of this Report, our satellite constellation consists of 19 NewSat satellites in orbit, 18 of which are operational and one is being used for testing.</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believe that our latest satellite model, the NewSat Mark-V, which possesses a mass of less than 50 kilograms, a cost of approximately $1.3 million including launch costs, and a daily imaging capability of over 300,000 square kilometers at 50 cm resolution is superior to those satellites of our competitors in terms of unit economics, capacity and cost.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anticipated technology roadmap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150495</wp:posOffset>
            </wp:positionV>
            <wp:extent cx="5274310" cy="2738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74310" cy="273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Growth Opportunities</w:t>
      </w:r>
    </w:p>
    <w:p>
      <w:pPr>
        <w:spacing w:after="0" w:line="114"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8"/>
          <w:szCs w:val="18"/>
          <w:color w:val="auto"/>
        </w:rPr>
        <w:t>Our initial EO constellation and infrastructure are the key building blocks that we expect will enable us to leverage large constellations of small satellites to deliver a wide variety of services to Earth. Our key building blocks include:</w:t>
      </w:r>
    </w:p>
    <w:p>
      <w:pPr>
        <w:spacing w:after="0" w:line="56" w:lineRule="exact"/>
        <w:rPr>
          <w:sz w:val="20"/>
          <w:szCs w:val="20"/>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low-cost satellite bus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satellite architecture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operations at scale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Multi-payload, in-orbit platform</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Inter-satellite laser mesh</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LEO/MEO/GEO complementarity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Launch of Aleph Observer</w:t>
      </w:r>
    </w:p>
    <w:p>
      <w:pPr>
        <w:spacing w:after="0" w:line="223"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On February 23, 2026, the Company announced the launch of Aleph Observer, its persistent monitoring capability designed to deliver sustained, large-scale situational awareness across critical locations worldwide. Aleph Observer represents a shift in how Earth observation is procured and used. Rather than relying on episodic tasking and best-effort imagery delivery, it enables ongoing monitoring of hundreds of sites daily with predictable delivery over time.</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Albania Extension</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January 29, 2026, the Company entered into an 11-month contract extension with the Government of Albania to continue providing country-wide, high-frequency satellite monitoring services. The agreement builds upon a prior three-year contract and provides dedicated satellite capacity and high-resolution imagery covering Albania's entire territory to support national priorities, including natural resource management and disaster response.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High Earth Orbit Robotics Expanded Agreement</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August 4, 2025, we entered into an expanded agreement with High Earth Orbit Robotics Pty Ltd. (“HEO”), the world’s leading commercial provider of non-Earth imagery (“NEI”) for in-orbit inspection. Under this new agreement, HEO receives exclusive access to our high-resolution constellation for capturing NEI.</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January 27, 2026, the Company completed the sale of NewSat-34, a legacy Mark IV-g satellite already in orbit, to HEO. This transaction represents the first time the Company has sold a legacy, in-orbit satellite through its Sovereignty Government Program, allowing the Company to monetize an existing asset while extending its operational life for specialized applications. Under the terms of the agreement, the Company will continue to provide operational support for the satellite and generate service-based revenue while transitioning full title and tasking priority to the purchaser.</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January 26, 2026, the Company entered into a definitive securities purchase agreement with a single institutional investment manager in connection with a registered direct offering of 7,399,578 shares of the Company’s Class A common stock, par value $0.0001 per share, at an effective purchase price of approximately $4.73 per share.</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 were approximately $35 million, before deducting placement agent fees and other estimated offering expenses payable by the Company. All of the shares were sold by the Company pursuant to an existing shelf registration statement on Form S-3. The offering closed on January 27, 2026.</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Confidentially Marketed Public Offering</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October 15, 2025, the Company entered into an Underwriting Agreement with CF&amp;Co., as representative of the underwriters named therein, in connection with an underwritten public offering of 27,692,308 shares of the Company’s Class A common stock, par value $0.0001 per share, at a public offering price of $3.25 per share.</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underwriters a 30-day option to purchase up to 4,153,846 additional shares of Class A common stock. The option expired unused.</w:t>
      </w:r>
    </w:p>
    <w:p>
      <w:pPr>
        <w:spacing w:after="0" w:line="16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gross proceeds to the Company from the offering were $90 million, before deducting underwriting discounts and commissions and other estimated offering expenses payable by the Company. All of the shares were sold by the Company. The offering closed on October 17, 2025.</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Portugal Agreement</w:t>
      </w:r>
    </w:p>
    <w:p>
      <w:pPr>
        <w:spacing w:after="0" w:line="250" w:lineRule="exact"/>
        <w:rPr>
          <w:sz w:val="20"/>
          <w:szCs w:val="20"/>
          <w:color w:val="auto"/>
        </w:rPr>
      </w:pPr>
    </w:p>
    <w:p>
      <w:pPr>
        <w:ind w:right="440" w:firstLine="479"/>
        <w:spacing w:after="0" w:line="260" w:lineRule="auto"/>
        <w:rPr>
          <w:sz w:val="20"/>
          <w:szCs w:val="20"/>
          <w:color w:val="auto"/>
        </w:rPr>
      </w:pPr>
      <w:r>
        <w:rPr>
          <w:rFonts w:ascii="Times New Roman" w:cs="Times New Roman" w:eastAsia="Times New Roman" w:hAnsi="Times New Roman"/>
          <w:sz w:val="18"/>
          <w:szCs w:val="18"/>
          <w:color w:val="auto"/>
        </w:rPr>
        <w:t>On December 31, 2025, the Company entered into an $18 million agreement with CEiiA, the Centre of Engineering and Product Development in Portugal, for the supply and in-orbit delivery of two NewSat Mark V satellites.</w:t>
      </w:r>
    </w:p>
    <w:p>
      <w:pPr>
        <w:spacing w:after="0" w:line="190" w:lineRule="exact"/>
        <w:rPr>
          <w:sz w:val="20"/>
          <w:szCs w:val="20"/>
          <w:color w:val="auto"/>
        </w:rPr>
      </w:pPr>
    </w:p>
    <w:p>
      <w:pPr>
        <w:ind w:right="620" w:firstLine="479"/>
        <w:spacing w:after="0" w:line="276" w:lineRule="auto"/>
        <w:rPr>
          <w:sz w:val="20"/>
          <w:szCs w:val="20"/>
          <w:color w:val="auto"/>
        </w:rPr>
      </w:pPr>
      <w:r>
        <w:rPr>
          <w:rFonts w:ascii="Times New Roman" w:cs="Times New Roman" w:eastAsia="Times New Roman" w:hAnsi="Times New Roman"/>
          <w:sz w:val="18"/>
          <w:szCs w:val="18"/>
          <w:color w:val="auto"/>
        </w:rPr>
        <w:t>The agreement provides Portugal with autonomous, high-resolution Earth observation capabilities to support civil, environmental, and security missions. Ownership and operational control of the satellites are expected to transfer to CEiiA in the second quarter of 2026.</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NextGen Satellite Platform</w:t>
      </w:r>
    </w:p>
    <w:p>
      <w:pPr>
        <w:spacing w:after="0" w:line="22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On October 13, 2025, the Company introduced our newest high-resolution satellite platform, NexGen, which is designed to meet global demand for sovereign space capabilities and builds on the Company’s NewSat satellite architecture.</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New Sales Leadership</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November 3, 2025, the Company announced the appointment of Jeff Kerridge as Senior Vice President of Global Sales. A seasoned executive with more than 35 years of experience across the geospatial, D&amp;I sectors, Mr. Kerridge will lead Satellogic’s worldwide sales strategy and customer growth initiatives as the Company enters a new phase of global expansion.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Departure of Certain Principal Officer</w:t>
      </w:r>
    </w:p>
    <w:p>
      <w:pPr>
        <w:spacing w:after="0" w:line="25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March 6, 2026, Mathew Tirman, the President of the Company, submitted his resignation as an officer and employee of the Company effective March 31, 2026, to pursue other opportunities. Mr. Tirman’s resignation did not result from any disagreement with the Company on any matter relating to its operations, policies, or practices. Mr. Tirman will not receive any severance benefits in connection with his voluntary departure from the Company. The Company has no immediate plans to fill this vacated role and expects that Mr. Tirman’s duties will be distributed to other executives within the Company.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NOAA</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purpose of NOAA’s Commercial Remote Sensing Regulatory Affairs division is to balance the commercial viability of private earth remote sensing space systems and sound regulatory practices and policies while protecting U.S. national security, foreign policy and international obligations.</w:t>
      </w:r>
    </w:p>
    <w:p>
      <w:pPr>
        <w:spacing w:after="0" w:line="16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satellites are purposefully designed with telescopes and image capture technology to enable and support the collection of earth imagery. Each satellite is designed and built to collect high-resolution multispectral imagery, hyperspectral imagery and full motion video. The raw data collected by our constellation is collected through a series of ground stations strategically located in several global locations outside of the United States. We have a primary mission command control center in the U.S. that has ultimate operational control of our constellation and is supported by additional teams in each of Spain and Argentina. With the shift of ultimate operational constellation control to the U.S. in 2023, we filed for an operator’s license with NOAA which was granted in November 2023. As a result of obtaining this NOAA operator’s license, we are subject to NOAA’s oversight as we pivot operational control of our satellite constellation to our U.S. personnel and expand our ground station network to include U.S. based ground stations.</w:t>
      </w:r>
    </w:p>
    <w:p>
      <w:pPr>
        <w:spacing w:after="0" w:line="18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As we grow our U.S. business, we expect to coordinate with the NOAA Commercial Remote Sensing Regulatory Affairs agency to assure an understanding of regulations as they evolve and to proactively share any strategic changes contemplated by us that may relate to NOAA’s purview.</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FAA</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By entering into the SpaceX Agreement with a U.S.-based launch provider, we are directly and indirectly subject to the license requirements of the Office of Commercial Space Transportation (“AST”) of the Federal Aviation Administration (“FAA”). The FAA regulates the airspace of the U.S., through which launch vehicles must fly during launch to orbit and through which downlinks of raw data may occur if directed to a U.S.-based ground station. The AST office predominantly processes launch license requests submitted by launch vehicle operators, in our case, SpaceX, which includes information on the rideshare payloads flying on any given mission. As a result, reviews of our payloads by AST occur during, for example, the execution of Technical Assistance Agreement(s) upon SpaceX request and other associated launch reviews and licenses.</w:t>
      </w:r>
    </w:p>
    <w:p>
      <w:pPr>
        <w:spacing w:after="0" w:line="8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have adopted the National Aeronautics and Space Administration (“NASA”) and European Space Agency (“ESA”) standards regarding orbital debris mitigation. Having voluntarily subscribed to the United Nations Committee on Personal Uses of Outer Space orbital debris principles and guidance, we sought out the leading technical standards guiding responsible design, management, and test of space objects to meet the defined measures. To that end, we use the NASA orbit debris standard (NASA-STD-8719.14) and the ESA Orbital Debris Mitigation Guidelines (IADC-02-01, Current Revision).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ITAR, EAR and Export Controls</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have a global supply chain of upstream and downstream partners including manufacturers, suppliers and launch providers from a number of countries, including the U.S. The ITAR and EAR are the most relevant export control regulations we monitor. Generally, the ITAR restricts the export of hardware, software, technical data, and services containing defense or strategic applications. The EAR similarly regulates the export of hardware, software, and technology that has commercial or “dual-use” applications (i.e., for both military and commercial applications) or that have less sensitive military or space-related applications not subject to the ITAR. The regulations exist to advance the national security and foreign policy interests of the U.S.</w:t>
      </w:r>
    </w:p>
    <w:p>
      <w:pPr>
        <w:spacing w:after="0" w:line="18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Based upon the technologies we have procured from U.S. sources, we have not been specifically subject to ITAR. Since our export location may invoke, in certain instances, the EAR of the Bureau of Industry and Security of the U.S. Department of Commerce, we track our component sourcing. We procure some components listed on the Commerce Control List from U.S. suppliers and we are therefore subject to the EAR. We export our satellites to the U.S. for launch pursuant to the SpaceX Agreement, which provides for launch services. With this current sourcing model and partner ecosystem, we must comply with the EAR.</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government’s commitment to multilateral export control regimes, particularly the Missile Technology Control Regime concerning the spaceflight business.</w:t>
      </w:r>
    </w:p>
    <w:p>
      <w:pPr>
        <w:spacing w:after="0" w:line="21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Many different types of internal controls and measures are required to ensure compliance with export control regulations. In particular, we routinely complete end user compliance documents, record sourcing detail regarding country of origin and known classification numbers, determine the appropriate licensing jurisdiction (where applicable), and provide notice to internal and partner foreign team members of export-controlled information restrictions. In accordance with our Sanctions Compliance Policy, we do not export to embargoed, targeted sanction, or special policy countries. We have implemented a compliance diligence process for all third parties including, among other validations, verification of the parties with whom we contract at an entity and individual level.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Interagency Review</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review and approval of any license discussed above, as may be required, will be subject to interagency reviews that allow multiple government agencies including the U.S. Department of Commerce, U.S. Department of State, U.S. DoD, NASA, and others. The purpose of this interagency review is to examine such license applications from each agency’s respective perspective including but not limited to safety, operational, national security, foreign policy and international obligations, as well as review of foreign ownership.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Future U.S. Regulation</w:t>
      </w:r>
    </w:p>
    <w:p>
      <w:pPr>
        <w:spacing w:after="0" w:line="11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As we grow our U.S. business and to the extent we become a U.S. governmental contractor, our business will be subject to various additional U.S. regulation and related requirements, including but not limited to (1) the Defense Federal Acquisition Regulation Supplement and the U.S. DoD and federal cybersecurity requirements, including the Cybersecurity Maturity Model Certification (“CMMC”) framework, in connection with any defense work we perform in the future for the U.S. government and defense prime contractors, (2) the National Industrial Security Program Operating Manual administered by the U.S. Defense Counterintelligence and Security Agency, and other U.S. government security protocols when accessing sensitive information, (3) maintaining national security clearance and mitigation elements under the National Industry Security Program and agreement with the U.S. DoD regarding any appropriate FOCI mitigation arrangement with respect to our U.S.-based subsidiary and (4) conducting routine investigations and reviews relating to compliance with various U.S. laws and regulations, including those associated with organizational conflicts of interest, procurement integrity, bid integrity and claim presentation,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Corporate Organizational Structure</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We are a holding company. The following diagram shows our ownership and structure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48895</wp:posOffset>
            </wp:positionV>
            <wp:extent cx="5274310" cy="3583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74310" cy="358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hanging="47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lines represent 100% ownership unless otherwise indicated.</w:t>
      </w:r>
    </w:p>
    <w:p>
      <w:pPr>
        <w:spacing w:after="0" w:line="216"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 of the Group as of March 13, 2026: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0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0" w:type="dxa"/>
            <w:vAlign w:val="bottom"/>
          </w:tcPr>
          <w:p>
            <w:pPr>
              <w:spacing w:after="0"/>
              <w:rPr>
                <w:sz w:val="1"/>
                <w:szCs w:val="1"/>
                <w:color w:val="auto"/>
              </w:rPr>
            </w:pPr>
          </w:p>
        </w:tc>
      </w:tr>
      <w:tr>
        <w:trPr>
          <w:trHeight w:val="193"/>
        </w:trPr>
        <w:tc>
          <w:tcPr>
            <w:tcW w:w="3400" w:type="dxa"/>
            <w:vAlign w:val="bottom"/>
            <w:gridSpan w:val="2"/>
            <w:vMerge w:val="continue"/>
          </w:tcPr>
          <w:p>
            <w:pPr>
              <w:spacing w:after="0"/>
              <w:rPr>
                <w:sz w:val="16"/>
                <w:szCs w:val="16"/>
                <w:color w:val="auto"/>
              </w:rPr>
            </w:pPr>
          </w:p>
        </w:tc>
        <w:tc>
          <w:tcPr>
            <w:tcW w:w="590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0" w:type="dxa"/>
            <w:vAlign w:val="bottom"/>
          </w:tcPr>
          <w:p>
            <w:pPr>
              <w:spacing w:after="0"/>
              <w:rPr>
                <w:sz w:val="1"/>
                <w:szCs w:val="1"/>
                <w:color w:val="auto"/>
              </w:rPr>
            </w:pPr>
          </w:p>
        </w:tc>
      </w:tr>
      <w:tr>
        <w:trPr>
          <w:trHeight w:val="226"/>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Urugus S.A.</w:t>
            </w:r>
          </w:p>
        </w:tc>
        <w:tc>
          <w:tcPr>
            <w:tcW w:w="100" w:type="dxa"/>
            <w:vAlign w:val="bottom"/>
            <w:tcBorders>
              <w:top w:val="single" w:sz="8" w:color="CCEEFF"/>
            </w:tcBorders>
            <w:shd w:val="clear" w:color="auto" w:fill="CCEEFF"/>
          </w:tcPr>
          <w:p>
            <w:pPr>
              <w:spacing w:after="0"/>
              <w:rPr>
                <w:sz w:val="19"/>
                <w:szCs w:val="19"/>
                <w:color w:val="auto"/>
              </w:rPr>
            </w:pPr>
          </w:p>
        </w:tc>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assembly, integration, test and exports</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Uruguay</w:t>
            </w:r>
          </w:p>
        </w:tc>
        <w:tc>
          <w:tcPr>
            <w:tcW w:w="0" w:type="dxa"/>
            <w:vAlign w:val="bottom"/>
          </w:tcPr>
          <w:p>
            <w:pPr>
              <w:spacing w:after="0"/>
              <w:rPr>
                <w:sz w:val="1"/>
                <w:szCs w:val="1"/>
                <w:color w:val="auto"/>
              </w:rPr>
            </w:pPr>
          </w:p>
        </w:tc>
      </w:tr>
      <w:tr>
        <w:trPr>
          <w:trHeight w:val="22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Nettar Group</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Intermediate holding company</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B.V.I.</w:t>
            </w:r>
          </w:p>
        </w:tc>
        <w:tc>
          <w:tcPr>
            <w:tcW w:w="0" w:type="dxa"/>
            <w:vAlign w:val="bottom"/>
          </w:tcPr>
          <w:p>
            <w:pPr>
              <w:spacing w:after="0"/>
              <w:rPr>
                <w:sz w:val="1"/>
                <w:szCs w:val="1"/>
                <w:color w:val="auto"/>
              </w:rPr>
            </w:pPr>
          </w:p>
        </w:tc>
      </w:tr>
      <w:tr>
        <w:trPr>
          <w:trHeight w:val="22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Nettar S.A.</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Intermediate holding company</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Uruguay</w:t>
            </w:r>
          </w:p>
        </w:tc>
        <w:tc>
          <w:tcPr>
            <w:tcW w:w="0" w:type="dxa"/>
            <w:vAlign w:val="bottom"/>
          </w:tcPr>
          <w:p>
            <w:pPr>
              <w:spacing w:after="0"/>
              <w:rPr>
                <w:sz w:val="1"/>
                <w:szCs w:val="1"/>
                <w:color w:val="auto"/>
              </w:rPr>
            </w:pPr>
          </w:p>
        </w:tc>
      </w:tr>
      <w:tr>
        <w:trPr>
          <w:trHeight w:val="22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Satellogic V. Inc.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Intermediate holding company</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United States</w:t>
            </w:r>
          </w:p>
        </w:tc>
        <w:tc>
          <w:tcPr>
            <w:tcW w:w="0" w:type="dxa"/>
            <w:vAlign w:val="bottom"/>
          </w:tcPr>
          <w:p>
            <w:pPr>
              <w:spacing w:after="0"/>
              <w:rPr>
                <w:sz w:val="1"/>
                <w:szCs w:val="1"/>
                <w:color w:val="auto"/>
              </w:rPr>
            </w:pPr>
          </w:p>
        </w:tc>
      </w:tr>
      <w:tr>
        <w:trPr>
          <w:trHeight w:val="173"/>
        </w:trPr>
        <w:tc>
          <w:tcPr>
            <w:tcW w:w="34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 xml:space="preserve">Satellogic USA Inc. </w:t>
            </w:r>
            <w:r>
              <w:rPr>
                <w:rFonts w:ascii="Times New Roman" w:cs="Times New Roman" w:eastAsia="Times New Roman" w:hAnsi="Times New Roman"/>
                <w:sz w:val="20"/>
                <w:szCs w:val="20"/>
                <w:color w:val="auto"/>
                <w:vertAlign w:val="superscript"/>
              </w:rPr>
              <w:t>(1)</w:t>
            </w:r>
          </w:p>
        </w:tc>
        <w:tc>
          <w:tcPr>
            <w:tcW w:w="59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Finance, sales and marketing, product strategy, business development and</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delivery</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United States</w:t>
            </w:r>
          </w:p>
        </w:tc>
        <w:tc>
          <w:tcPr>
            <w:tcW w:w="0" w:type="dxa"/>
            <w:vAlign w:val="bottom"/>
          </w:tcPr>
          <w:p>
            <w:pPr>
              <w:spacing w:after="0"/>
              <w:rPr>
                <w:sz w:val="1"/>
                <w:szCs w:val="1"/>
                <w:color w:val="auto"/>
              </w:rPr>
            </w:pPr>
          </w:p>
        </w:tc>
      </w:tr>
      <w:tr>
        <w:trPr>
          <w:trHeight w:val="173"/>
        </w:trPr>
        <w:tc>
          <w:tcPr>
            <w:tcW w:w="34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6"/>
                <w:szCs w:val="16"/>
                <w:color w:val="auto"/>
              </w:rPr>
              <w:t xml:space="preserve">Satellogic S.A. </w:t>
            </w:r>
            <w:r>
              <w:rPr>
                <w:rFonts w:ascii="Times New Roman" w:cs="Times New Roman" w:eastAsia="Times New Roman" w:hAnsi="Times New Roman"/>
                <w:sz w:val="20"/>
                <w:szCs w:val="20"/>
                <w:color w:val="auto"/>
                <w:vertAlign w:val="superscript"/>
              </w:rPr>
              <w:t>(2)</w:t>
            </w:r>
          </w:p>
        </w:tc>
        <w:tc>
          <w:tcPr>
            <w:tcW w:w="59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Research and development, administration, back office services (accounting) and</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prototype-building</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Argentina</w:t>
            </w:r>
          </w:p>
        </w:tc>
        <w:tc>
          <w:tcPr>
            <w:tcW w:w="0" w:type="dxa"/>
            <w:vAlign w:val="bottom"/>
          </w:tcPr>
          <w:p>
            <w:pPr>
              <w:spacing w:after="0"/>
              <w:rPr>
                <w:sz w:val="1"/>
                <w:szCs w:val="1"/>
                <w:color w:val="auto"/>
              </w:rPr>
            </w:pPr>
          </w:p>
        </w:tc>
      </w:tr>
      <w:tr>
        <w:trPr>
          <w:trHeight w:val="173"/>
        </w:trPr>
        <w:tc>
          <w:tcPr>
            <w:tcW w:w="34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 xml:space="preserve">Satellogic Solutions S.L. </w:t>
            </w:r>
            <w:r>
              <w:rPr>
                <w:rFonts w:ascii="Times New Roman" w:cs="Times New Roman" w:eastAsia="Times New Roman" w:hAnsi="Times New Roman"/>
                <w:sz w:val="20"/>
                <w:szCs w:val="20"/>
                <w:color w:val="auto"/>
                <w:vertAlign w:val="superscript"/>
              </w:rPr>
              <w:t>(2)</w:t>
            </w:r>
          </w:p>
        </w:tc>
        <w:tc>
          <w:tcPr>
            <w:tcW w:w="59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Research and development (data science solutions and machine learning over the</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 images)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30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Satellogic Federal LLC </w:t>
            </w:r>
            <w:r>
              <w:rPr>
                <w:rFonts w:ascii="Times New Roman" w:cs="Times New Roman" w:eastAsia="Times New Roman" w:hAnsi="Times New Roman"/>
                <w:sz w:val="23"/>
                <w:szCs w:val="23"/>
                <w:color w:val="auto"/>
                <w:vertAlign w:val="superscript"/>
              </w:rPr>
              <w:t>(3)</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United States</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474"/>
        <w:spacing w:after="0"/>
        <w:tabs>
          <w:tab w:leader="none" w:pos="4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entity is controlled through Satellogic V. Inc.</w:t>
      </w:r>
    </w:p>
    <w:p>
      <w:pPr>
        <w:ind w:left="480" w:hanging="474"/>
        <w:spacing w:after="0" w:line="192" w:lineRule="auto"/>
        <w:tabs>
          <w:tab w:leader="none" w:pos="4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entity is controlled through Nettar, S.A. an intermediate holding entity of the Group.</w:t>
      </w:r>
    </w:p>
    <w:p>
      <w:pPr>
        <w:spacing w:after="0" w:line="1" w:lineRule="exact"/>
        <w:rPr>
          <w:rFonts w:ascii="Times New Roman" w:cs="Times New Roman" w:eastAsia="Times New Roman" w:hAnsi="Times New Roman"/>
          <w:sz w:val="23"/>
          <w:szCs w:val="23"/>
          <w:color w:val="auto"/>
          <w:vertAlign w:val="superscript"/>
        </w:rPr>
      </w:pPr>
    </w:p>
    <w:p>
      <w:pPr>
        <w:ind w:left="480" w:hanging="474"/>
        <w:spacing w:after="0" w:line="192" w:lineRule="auto"/>
        <w:tabs>
          <w:tab w:leader="none" w:pos="4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entity is controlled through Satellogic USA Inc.</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36"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Our Internet website address is www.satellogic.com. Our annual reports on Form 10-K (formerly on Form 20-F), quarterly reports on Form 10-Q, current reports on Form 8-K and amendments to those reports filed or furnished pursuant to section 13(a) or 15(d) of the Securities Exchange Act are available free of charge through our website as soon as reasonably practicable after we electronically file with or furnish them to the SEC, and are available in print to any stockholder who requests a printed copy. We also use our website as a means of disclosing additional information, including for complying with our disclosure obligations under the SEC's Regulation FD (Fair Disclosure). The SEC maintains a website that contains reports, proxy statements, information statements and other information regarding issuers, including us, that file electronically with the SEC at www.sec.gov.</w:t>
      </w:r>
    </w:p>
    <w:p>
      <w:pPr>
        <w:spacing w:after="0" w:line="207" w:lineRule="exact"/>
        <w:rPr>
          <w:sz w:val="20"/>
          <w:szCs w:val="20"/>
          <w:color w:val="auto"/>
        </w:rPr>
      </w:pPr>
    </w:p>
    <w:p>
      <w:pPr>
        <w:jc w:val="both"/>
        <w:ind w:firstLine="485"/>
        <w:spacing w:after="0" w:line="253" w:lineRule="auto"/>
        <w:rPr>
          <w:sz w:val="20"/>
          <w:szCs w:val="20"/>
          <w:color w:val="auto"/>
        </w:rPr>
      </w:pPr>
      <w:r>
        <w:rPr>
          <w:rFonts w:ascii="Times New Roman" w:cs="Times New Roman" w:eastAsia="Times New Roman" w:hAnsi="Times New Roman"/>
          <w:sz w:val="18"/>
          <w:szCs w:val="18"/>
          <w:color w:val="auto"/>
        </w:rPr>
        <w:t>In addition, many of our corporate governance documents are available on our website at www.satellogic.com. Specifically, our Audit, Compensation, Nominating and Corporate Governance and Finance Committee Charters, our Corporate Governance Guidelines and Code of Business Conduct and Ethics are available. Each of these documents is also available in print to any stockholder who requests it.</w:t>
      </w:r>
    </w:p>
    <w:p>
      <w:pPr>
        <w:spacing w:after="0" w:line="197"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8"/>
          <w:szCs w:val="18"/>
          <w:color w:val="auto"/>
        </w:rPr>
        <w:t>The content on our website is available for information purposes only and is not a part of and shall not be deemed incorporated by reference in this Report.</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History and Development of the Company</w:t>
      </w:r>
    </w:p>
    <w:p>
      <w:pPr>
        <w:spacing w:after="0" w:line="341"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We were incorporated under the laws of the BVI on June 29, 2021, solely for the purpose of effectuating the Merger, which was consummated on January 25, 2022. See “Merger Transaction” below for further details of the Merger. The Domestication was consummated on March 26, 2025. See “Domestication” below for further details.</w:t>
      </w:r>
    </w:p>
    <w:p>
      <w:pPr>
        <w:spacing w:after="0" w:line="19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own no material assets other than our interests in Nettar and do not operate any business other than through Nettar, our wholly owned subsidiary. Nettar is a BVI business company incorporated in the BVI as a company limited by shares. See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 Liquidity and Capital Resources” </w:t>
      </w:r>
      <w:r>
        <w:rPr>
          <w:rFonts w:ascii="Times New Roman" w:cs="Times New Roman" w:eastAsia="Times New Roman" w:hAnsi="Times New Roman"/>
          <w:sz w:val="18"/>
          <w:szCs w:val="18"/>
          <w:color w:val="auto"/>
        </w:rPr>
        <w:t>for a discussion of Nettar’s principal capital expenditures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and 2024. Except for capital expenditures in the ordinary course of business, there are no other material capital expenditures or divestitures currently in progress as of the date of this Report.</w:t>
      </w:r>
    </w:p>
    <w:p>
      <w:pPr>
        <w:spacing w:after="0" w:line="1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Nettar was the holding company of the Satellogic Group (the “Group”) prior to the Merger and was incorporated on October 7, 2014, under the laws of the BVI as an International Business Company.</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210 Delburg Street, Davidson, NC 28036, U.S. and our telephone number is 704-802-2041. Our principal website address is www.satellogic.com. The information contained on, or accessible through, our website is not incorporated by reference into this Report, and you should not consider it a part of this Report.</w:t>
      </w:r>
    </w:p>
    <w:p>
      <w:pPr>
        <w:spacing w:after="0" w:line="17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May 6, 2022, we entered into an Investment Agreement with Officina Stellare S.p.A. (“OS”), a company engaged in the design and production of telescopes and opto-mechanical and aerospace instrumentation for ground and space-based applications, to purchase 5% of OS’s outstanding common shares for $3.7 million. Emiliano Kargieman, our Chief Executive Officer, was appointed to the OS board of directors. The investment was completed on September 30, 2022. OS is also a supplier of telescopes to the Company.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Merger Transaction</w:t>
      </w: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January 25, 2022 (the “Closing Date”), we consummated the Transactions contemplated by the Agreement and Plan of Merger dated as of July 5, 2021 (the “Merger Agreement” ), by and among Satellogic, CF V, a Delaware corporation, now known as “Satellogic V. Inc., Ganymede Merger Sub 1 Inc., a BVI business company incorporated in the BVI as a company limited by shares and a direct wholly owned subsidiary of Satellogic and Ganymede Merger Sub 2 Inc., a Delaware corporation and a direct wholly owned subsidiary of Satellogic.</w:t>
      </w:r>
    </w:p>
    <w:p>
      <w:pPr>
        <w:spacing w:after="0" w:line="182"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The Merger resulted in cash proceeds of $168 million, after Transaction expenses and debt repayment, through the contribution of cash held in CF V’s trust account, net of redemptions by CF V’s public stockholders, and a concurrent PIPE offering (“2022 PIPE”) led by SoftBank’s SBLA Advisers Corp. and CF&amp;Co., among other institutional investors, together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Liberty Investment. See Note 4 (Reverse Recapitalization) to the Consolidated Financial Statements for additional details.</w:t>
      </w:r>
    </w:p>
    <w:p>
      <w:pPr>
        <w:spacing w:after="0" w:line="21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On January 26, 2022, our Class A common stock began trading on Nasdaq under the ticker symbol “SATL” and our warrants began trading on Nasdaq under the ticker symbol “SATLW”.</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Domestication</w:t>
      </w:r>
    </w:p>
    <w:p>
      <w:pPr>
        <w:spacing w:after="0" w:line="22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On March 26, 2025, we filed with the Secretary of State of the State of Delaware a certificate of corporate domestication and a certificate of incorporation of a Delaware corporation with the name “Satellogic Inc.”, as well as filed with the Registrar of Corporate Affairs in the BVI a notice of the Company’s continuance out of the BVI, pursuant to which we domesticated and are continuing as a Delaware corporation. On the effective date of the Domestication, each of our BVI Ordinary Shares and BVI Warrants automatically converted by operation of law, on a one-for-one basis, into shares of Class A common stock, Class B common stock and warrants to purchase Class A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Any investment in our securities involves a high degree of risk, including the risks described below. Readers should carefully consider the following risks and other information in this Report, including our Consolidated Financial Statements and related notes included elsewhere in this Report. The risks and uncertainties described below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our shares could decline, perhaps significantly, and you could lose all or part of your investment. The risks discussed below also include forward-looking statements and our actual results may differ substantially from those discussed in these forward-looking statements. See the section entitled “Cautionary Note Regarding Forward-Looking Statements.”</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01" w:lineRule="exact"/>
        <w:rPr>
          <w:sz w:val="20"/>
          <w:szCs w:val="20"/>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as expected, our financial condition will be materially and adversely affected.</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will be highly dependent on our ability to effectively market and sell our products and services, which can be a costly process.</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largest customers could adversely affect our results of operations.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efforts involve considerable time and expense, and our sales cycle is long and unpredictable.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risks and uncertainties associated with D&amp;I-related contracts, which may have a material adverse effect on our business.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structure may not be optimal and may require adjustments over time.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scale production of our satellites, our business could be materially and adversely affected.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expansion into Space Systems, as well as other new business lines or services, may result in unforeseen risks, challenges and uncertainties.</w:t>
      </w:r>
    </w:p>
    <w:p>
      <w:pPr>
        <w:spacing w:after="0" w:line="123" w:lineRule="exact"/>
        <w:rPr>
          <w:rFonts w:ascii="Times New Roman" w:cs="Times New Roman" w:eastAsia="Times New Roman" w:hAnsi="Times New Roman"/>
          <w:sz w:val="17"/>
          <w:szCs w:val="17"/>
          <w:color w:val="auto"/>
        </w:rPr>
      </w:pPr>
    </w:p>
    <w:p>
      <w:pPr>
        <w:jc w:val="both"/>
        <w:ind w:left="960" w:hanging="315"/>
        <w:spacing w:after="0" w:line="261"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 parties to build and provide certain satellite components, products and services, including to transport and launch our satellites into space, and any inability to meet our needs could have a material and adverse impact on our business, financial condition, and results of operations.</w:t>
      </w:r>
    </w:p>
    <w:p>
      <w:pPr>
        <w:spacing w:after="0" w:line="70"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ground station and cloud-based computing infrastructure operated by third parties, and any failure in their or our operational infrastructure could materially and adversely affect our business.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our minimum service requirements in any customer contracts may materially and adversely affect our business, results of operations and financial condition.</w:t>
      </w:r>
    </w:p>
    <w:p>
      <w:pPr>
        <w:spacing w:after="0" w:line="56" w:lineRule="exact"/>
        <w:rPr>
          <w:rFonts w:ascii="Times New Roman" w:cs="Times New Roman" w:eastAsia="Times New Roman" w:hAnsi="Times New Roman"/>
          <w:sz w:val="18"/>
          <w:szCs w:val="18"/>
          <w:color w:val="auto"/>
        </w:rPr>
      </w:pPr>
    </w:p>
    <w:p>
      <w:pPr>
        <w:ind w:left="960" w:right="20" w:hanging="315"/>
        <w:spacing w:after="0" w:line="276"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Data &amp; Analytics and Space Systems businesses may not continue, and our business is dependent upon our ability to keep pace with the latest technological changes.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for all of our Data &amp; Analytics and Space Systems businesses, which may limit our ability to gain market share.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foresee challenges with international operations or regulations in certain markets may change.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machine learning, and related technologies in our business present risks and challenges that could adversely affect us.</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complex and could have unknown defects or errors, which may increase our costs, harm our reputation, give rise to costly litigation, or divert our or our customers’ resources.</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adequate capital to finance our strategies.</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depends on the successful production, launch, commissioning, sale and/or operation of our satellites, which is subject to many uncertainties, some of which are beyond our control.</w:t>
      </w:r>
    </w:p>
    <w:p>
      <w:pPr>
        <w:spacing w:after="0" w:line="56" w:lineRule="exact"/>
        <w:rPr>
          <w:rFonts w:ascii="Times New Roman" w:cs="Times New Roman" w:eastAsia="Times New Roman" w:hAnsi="Times New Roman"/>
          <w:sz w:val="18"/>
          <w:szCs w:val="18"/>
          <w:color w:val="auto"/>
        </w:rPr>
      </w:pPr>
    </w:p>
    <w:p>
      <w:pPr>
        <w:ind w:left="960" w:hanging="315"/>
        <w:spacing w:after="0" w:line="275" w:lineRule="auto"/>
        <w:tabs>
          <w:tab w:leader="none" w:pos="9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markets for Data &amp; Analytics and Space Systems businesses have not been established with precision, are still emerging and may not achieve the growth potential we expect or may grow more slowly than expected.</w:t>
      </w:r>
    </w:p>
    <w:p>
      <w:pPr>
        <w:spacing w:after="0" w:line="57" w:lineRule="exact"/>
        <w:rPr>
          <w:rFonts w:ascii="Arial" w:cs="Arial" w:eastAsia="Arial" w:hAnsi="Arial"/>
          <w:sz w:val="18"/>
          <w:szCs w:val="18"/>
          <w:color w:val="auto"/>
        </w:rPr>
      </w:pPr>
    </w:p>
    <w:p>
      <w:pPr>
        <w:ind w:left="960" w:hanging="315"/>
        <w:spacing w:after="0" w:line="275" w:lineRule="auto"/>
        <w:tabs>
          <w:tab w:leader="none" w:pos="9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If our satellites and related equipment become impaired, or fail to operate as intended, it could have a material adverse effect on our business, financial condition, and results of operations.</w:t>
      </w:r>
    </w:p>
    <w:p>
      <w:pPr>
        <w:spacing w:after="0" w:line="57" w:lineRule="exact"/>
        <w:rPr>
          <w:rFonts w:ascii="Arial" w:cs="Arial" w:eastAsia="Arial" w:hAnsi="Arial"/>
          <w:sz w:val="18"/>
          <w:szCs w:val="18"/>
          <w:color w:val="auto"/>
        </w:rPr>
      </w:pPr>
    </w:p>
    <w:p>
      <w:pPr>
        <w:ind w:left="960" w:hanging="315"/>
        <w:spacing w:after="0" w:line="275" w:lineRule="auto"/>
        <w:tabs>
          <w:tab w:leader="none" w:pos="9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Satellites are subject to production and launch delays, launch failures, and damage or destruction during launch, the occurrence of which could materially and adversely affect our operations.</w:t>
      </w:r>
    </w:p>
    <w:p>
      <w:pPr>
        <w:spacing w:after="0" w:line="57" w:lineRule="exact"/>
        <w:rPr>
          <w:rFonts w:ascii="Arial" w:cs="Arial" w:eastAsia="Arial" w:hAnsi="Arial"/>
          <w:sz w:val="18"/>
          <w:szCs w:val="18"/>
          <w:color w:val="auto"/>
        </w:rPr>
      </w:pPr>
    </w:p>
    <w:p>
      <w:pPr>
        <w:ind w:left="960" w:hanging="315"/>
        <w:spacing w:after="0" w:line="275" w:lineRule="auto"/>
        <w:tabs>
          <w:tab w:leader="none" w:pos="9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involves significant risks and uncertainties that may not be covered by insurance or insurance coverage may be insufficient or unavailable on acceptable cost and terms, if at all.</w:t>
      </w:r>
    </w:p>
    <w:p>
      <w:pPr>
        <w:spacing w:after="0" w:line="57" w:lineRule="exact"/>
        <w:rPr>
          <w:rFonts w:ascii="Arial" w:cs="Arial" w:eastAsia="Arial" w:hAnsi="Arial"/>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results may adversely affect our ability to use our satellites in certain orbital locations or may delay our ability to launch satellites and thereby limit our ability to provide our proposed services.</w:t>
      </w:r>
    </w:p>
    <w:p>
      <w:pPr>
        <w:spacing w:after="0" w:line="56" w:lineRule="exact"/>
        <w:rPr>
          <w:rFonts w:ascii="Times New Roman" w:cs="Times New Roman" w:eastAsia="Times New Roman" w:hAnsi="Times New Roman"/>
          <w:sz w:val="18"/>
          <w:szCs w:val="18"/>
          <w:color w:val="auto"/>
        </w:rPr>
      </w:pPr>
    </w:p>
    <w:p>
      <w:pPr>
        <w:ind w:left="960" w:hanging="315"/>
        <w:spacing w:after="0" w:line="275" w:lineRule="auto"/>
        <w:tabs>
          <w:tab w:leader="none" w:pos="9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Natural disasters, unusual or unfavorable weather conditions, pandemic or epidemic outbreaks, terrorist acts and geopolitical events (including the new conflicts in Iran and the Middle East) could disrupt our business or satellite launch schedules.</w:t>
      </w:r>
    </w:p>
    <w:p>
      <w:pPr>
        <w:spacing w:after="0" w:line="57" w:lineRule="exact"/>
        <w:rPr>
          <w:rFonts w:ascii="Arial" w:cs="Arial" w:eastAsia="Arial" w:hAnsi="Arial"/>
          <w:sz w:val="18"/>
          <w:szCs w:val="18"/>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Domestication are subject to risks and uncertainties, and may not materialize.</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Domestication, we lost our foreign private issuer status and are now required to comply with the Exchange Act’s domestic reporting regime, which may cause us to incur significant expenses.</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have sufficient cash flows from our business to continue to fund our operations and pay our debt.</w:t>
      </w:r>
    </w:p>
    <w:p>
      <w:pPr>
        <w:spacing w:after="0" w:line="111" w:lineRule="exact"/>
        <w:rPr>
          <w:rFonts w:ascii="Arial" w:cs="Arial" w:eastAsia="Arial" w:hAnsi="Arial"/>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a U.S. governmental contractor, our business will be subject to significant U.S. regulations, and changes in U.S. government spending could reduce our revenue and adversely affect our business.</w:t>
      </w:r>
    </w:p>
    <w:p>
      <w:pPr>
        <w:spacing w:after="0" w:line="56"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may violate the proprietary rights of third parties, our intellectual property may be misappropriated or infringed upon by third parties, or we may fail to comply with the terms of any open-source software license applicable to our technology, each of which could have a negative impact on our operations.</w:t>
      </w:r>
    </w:p>
    <w:p>
      <w:pPr>
        <w:spacing w:after="0" w:line="70"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specialized expertise of our senior management, engineering, sales and operational staff and must retain and attract qualified and highly skilled personnel in order to grow our business successfully.</w:t>
      </w:r>
    </w:p>
    <w:p>
      <w:pPr>
        <w:spacing w:after="0" w:line="56" w:lineRule="exact"/>
        <w:rPr>
          <w:rFonts w:ascii="Times New Roman" w:cs="Times New Roman" w:eastAsia="Times New Roman" w:hAnsi="Times New Roman"/>
          <w:sz w:val="18"/>
          <w:szCs w:val="18"/>
          <w:color w:val="auto"/>
        </w:rPr>
      </w:pPr>
    </w:p>
    <w:p>
      <w:pPr>
        <w:ind w:left="960" w:right="2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inflation and/or elevated interest rates for prolonged periods could have an adverse effect on our business, financial condition, and results of operations.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expenses and administrative burdens as a public company, which could have an adverse effect on our business, financial condition, and results of operations.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management to operate the business successfully is largely dependent upon the efforts of certain of our key personnel. The loss of key personnel could negatively impact our operations and financial results.</w:t>
      </w:r>
    </w:p>
    <w:p>
      <w:pPr>
        <w:spacing w:after="0" w:line="56"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certain of our stockholders and limiting our other stockholders’ influence on corporate matters and may discourage others from pursuing any change of control transactions that holders of Class A common stock may view as beneficial.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declare any dividends in the foreseeable future.</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over financial reporting could have a material adverse effect on our business, operating results and stock price.</w:t>
      </w:r>
    </w:p>
    <w:p>
      <w:pPr>
        <w:spacing w:after="0" w:line="56" w:lineRule="exact"/>
        <w:rPr>
          <w:rFonts w:ascii="Times New Roman" w:cs="Times New Roman" w:eastAsia="Times New Roman" w:hAnsi="Times New Roman"/>
          <w:sz w:val="18"/>
          <w:szCs w:val="18"/>
          <w:color w:val="auto"/>
        </w:rPr>
      </w:pPr>
    </w:p>
    <w:p>
      <w:pPr>
        <w:ind w:left="960" w:hanging="315"/>
        <w:spacing w:after="0" w:line="306" w:lineRule="auto"/>
        <w:tabs>
          <w:tab w:leader="none" w:pos="9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As a result of the reduced disclosure and governance requirements applicable to emerging growth companies and smaller reporting companies, our Class A common stock may be less attractive to investors.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that has not demonstrated a sustained ability to generate revenues. If we do not generate revenues as expected, our financial condition will be materially and adversely affected.</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designing, building and developing our satellites and satellite components and technology, enhancing our geospatial analytics capabilities and services, planning our business, raising capital and providing general and administrative support for these operations. As a relatively new business, we have not demonstrated a sustained ability to generate sufficient revenue from our Data &amp; Analytics business or conduct sufficient sales and marketing activities necessary for successful commercialization of our geospatial data and analytics platform (“Platform”). Additionally, our Space Systems business line, which allows us to sell our satellites directly to customers, has only a limited demonstrated track record of revenues. Consequently, any assessment a reader makes about our current business, future success or viability may not be as accurate as it could be if we had a longer operating history. Further, our limited financial track record, without meaningful revenue from our expected future principal business, is of limited reference value for an assessment of our business and future prospects.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As of December 31, 2025, we have an accumulated deficit of $404.9 million. For the year ended December 31, 2025, we had net cash used in operating activities of $26.9 million. As of December 31, 2025, we had cash and cash equivalents of $94.4 million. We will continue to incur losses and negative operating cash flows until we are able to onboard a sufficient number of customers, contracts and launch and scale a sufficient number of our constellation of satellites, to become profitable and generate positive operating cash flows. As we continue to transition to commercial production and sales, it is difficult to forecast our future results. We have limited insight into trends that may emerge and affect our business, including our ability to attract and retain customers and the competition we will face. If our revenue grows slower than we anticipate or we otherwise fall materially short of our forecasts and expectations, we may not be able to achieve profitability and positive operating cash flows and our financial condition will be materially and adversely affected, which could cause our stock price to decline and investors to lose confidence in us.</w:t>
      </w:r>
    </w:p>
    <w:p>
      <w:pPr>
        <w:spacing w:after="0" w:line="2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will be highly dependent on our ability to effectively market and sell our Data &amp; Analytics and Space Systems products and services and to convert our pipeline of potential contracts into actual revenues, which can be a costly process.</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To date, we have relied heavily on equity and debt financing to fund our business and operations and are currently generating revenue from agreements with a commercial space technology customer and a governmental customer as well as from a base of smaller customer contracts. As of the date of this Report, we have a fleet of 19 satellites in orbit and have significantly accelerated our sales and marketing efforts to government D&amp;I agencies, particularly in countries outside of the U.S. Our success will be highly dependent on our ability to convert our significant pipeline of potential contracts into recognized revenues. If we fail to sign contracts with at least some portion of the customers for large projects currently envisaged in our pipeline, particularly over the next couple of years when any large contract would significantly impact our revenues and financial results and grow a sufficient number of contracts with such customers, our business, financial condition, and results of operations will be materially and adversely affected.</w:t>
      </w:r>
    </w:p>
    <w:p>
      <w:pPr>
        <w:spacing w:after="0" w:line="18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Our ability to establish and expand our customer relationships and sell our Data &amp; Analytics and Space Systems products and services is subject to a number of factors, including our ability to overcome concerns by customers relating to our lack of experience or track record in providing such services and products to customers in the same industry or at all, competition from larger, more experienced service providers, our customers’ satisfaction or dissatisfaction with our satellites and/or our EO services, the frequency and severity of errors or disruptions in our satellites, reliability of our satellites, the effects of general economic conditions, competitive offerings or alternatives, reductions in our customers’ spending levels, and pricing.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sales growth is dependent upon our ability to implement sophisticated and potentially costly sales and marketing initiatives. These initiatives may not be effective in generating sales, and in such an event our results of operations will be harmed. In the near term, we intend to derive substantially all our revenues from providing our Data &amp; Analytics services and Space Systems to international government D&amp;I agencies, and in the longer term, intend to expand our operations to serve commercial customers in a variety of markets and industries. We cannot give any assurance that we will be able to secure future business or that the potential uses for our products and services in commercial applications will develop. It is difficult to predict our future revenues and appropriately budget for our expenses, and we have limited insight into trends that may emerge and affect our business. If actual results do not improve or improve more slowly than we anticipate, our operating results, prospects and financial position could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largest customers could adversely affect our results of operations.</w:t>
      </w:r>
    </w:p>
    <w:p>
      <w:pPr>
        <w:spacing w:after="0" w:line="25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 xml:space="preserve">We are dependent on a small number of customers for a large portion of our revenue, such as a commercial space technology customer and a governmental customer. A significant decrease in the sales to or loss of any of our major customers would have a material adverse effect on our business, financial condition, and results of operations. In 2025, we had three customers that each accounted for more than 10% of our total revenue and in 2024, we had two </w:t>
      </w:r>
      <w:r>
        <w:rPr>
          <w:rFonts w:ascii="Times New Roman" w:cs="Times New Roman" w:eastAsia="Times New Roman" w:hAnsi="Times New Roman"/>
          <w:sz w:val="15"/>
          <w:szCs w:val="15"/>
          <w:color w:val="auto"/>
        </w:rPr>
        <w:t>customers</w:t>
      </w:r>
      <w:r>
        <w:rPr>
          <w:rFonts w:ascii="Times New Roman" w:cs="Times New Roman" w:eastAsia="Times New Roman" w:hAnsi="Times New Roman"/>
          <w:sz w:val="18"/>
          <w:szCs w:val="18"/>
          <w:color w:val="auto"/>
        </w:rPr>
        <w:t xml:space="preserve"> that accounted for 10% of our total revenue. Customers in the D&amp;I market generally purchase our services and products in connection with government programs that have a limited duration, leading to fluctuating sales to any particular customer in this market from year to year. If we lose one or more of our major enterprise or government customers, or if we experience a significant reduction in business from one or more major enterprise or government customers, there is no assurance that we would be able to quickly replace those customers to generate comparable revenue, which could harm our operating results and profitability.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efforts involve considerable time and expense, and our sales cycle is long and unpredictable for many of our portfolio offerings.</w:t>
      </w:r>
    </w:p>
    <w:p>
      <w:pPr>
        <w:spacing w:after="0" w:line="11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results of operations may fluctuate, in part, because of the intensive nature of our sales efforts and the length and unpredictability of our sales cycle. As part of our sales efforts, we invest considerable time and expense evaluating the specific needs and requirements of our potential customers, which consist largely of government agencies and educating these potential customers about the technical capabilities and value of our satellites and our Data &amp; Analytics services and the better unit economics we can offer, which in the case of government agencies can be less important. In addition, we have only recently begun to grow our sales team, and our sales efforts have historically depended on the significant involvement of our senior management team. Given the nature of the potential customers, the length of our sales cycle tends to be long and varies substantially from customer to customer. In addition, the timing and cycle of contract bidding processes particularly for government contracts can be very unpredictable and can change or lengthen on very little notice and for reasons outside of our control. Because decisions to purchase our Data &amp; Analytics services and Space Systems involve significant financial commitments, potential customers generally evaluate our products and technologies at multiple levels within their organizations, each of which often have specific requirements, and typically involve senior officials and management, and multiple internal approvals. We could spend substantial time, effort, and money in our sales efforts without producing any sales. If our sales efforts to a potential customer do not result in sufficient revenue to justify our investments, our business, financial condition, and results of operations could be materially and adversely affected.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and uncertainties associated with D&amp;I-related contracts, which may have a material adverse effect on our business.</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still an early-stage company and only began to recognize revenues in 2021. Acquiring defense-related governmental contracts is part of our growth strategy. The acquisition of defense-related or governmental customers results in our Data &amp; Analytics services and Space Systems being incorporated into defense programs. Whether such defense or governmental contracts are entered into directly with the U.S. government, a foreign government, or one of their respective agencies, or indirectly as a subcontractor or team member, our contracts and subcontracts are or will be subject to special risks. For example:</w:t>
      </w:r>
    </w:p>
    <w:p>
      <w:pPr>
        <w:spacing w:after="0" w:line="76" w:lineRule="exact"/>
        <w:rPr>
          <w:sz w:val="20"/>
          <w:szCs w:val="20"/>
          <w:color w:val="auto"/>
        </w:rPr>
      </w:pPr>
    </w:p>
    <w:p>
      <w:pPr>
        <w:jc w:val="both"/>
        <w:ind w:left="960" w:hanging="315"/>
        <w:spacing w:after="0" w:line="256"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administration and national and international priorities, including developments in the geopolitical environment (such as the new conflicts in Iran and the Middle East), or regulatory requirements, could have a significant impact on national or international defense spending priorities and the efficient handling of routine contractual matters. These changes could have a negative impact on our business in the future.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960" w:hanging="315"/>
        <w:spacing w:after="0" w:line="251"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may be subject to protests by losing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in a program, which can result in the loss of the contract or significantly reduce our revenue from the program. The government’s requirements for more frequent technology refreshes on defense programs may lead to increased costs and lower long-term revenues.</w:t>
      </w:r>
    </w:p>
    <w:p>
      <w:pPr>
        <w:spacing w:after="0" w:line="82"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materially and adversely affect our business or results of operations in the future.</w:t>
      </w:r>
    </w:p>
    <w:p>
      <w:pPr>
        <w:spacing w:after="0" w:line="70"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usage policy currently restricts usage of our Data &amp; Analytics services, data and Platform for peaceful use only, and that may limit our ability to compete for and win certain defense-related contracts.</w:t>
      </w:r>
    </w:p>
    <w:p>
      <w:pPr>
        <w:spacing w:after="0" w:line="56"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executed the Domestication in part to better position ourselves to execute our realigned strategic focus on the U.S. market, including competing for U.S. government D&amp;I-related contracts, there can be no assurance that the Domestication will continue to enable us to successfully obtain any such contracts, nor will it resolve the foregoing risks.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pricing structure may not be optimal and may require adjustments over time.</w:t>
      </w:r>
    </w:p>
    <w:p>
      <w:pPr>
        <w:spacing w:after="0" w:line="11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pricing of our products and services will vary depending on the specific application and customer specifications. Given the complexity in determining pricing structures for our Data &amp; Analytics services and satellites, we may experience difficulty determining the appropriate price structure for our products and services. This may result in missed revenue opportunities and lower than expected margins if we price our products and services too low, or in us losing bids if we price our products and services too high. In addition, we expect that we may need to change our pricing model from time to time, including as a result of competition, global economic conditions, reductions in our customers’ spending levels generally, changes in product mix, pricing studies or changes in how information technology infrastructure is broadly consumed. Similarly, as we introduce new products and services, or as a result of the evolution of our existing products and services, we may have difficulty determining the appropriate price structure for our products and services. In addition, as new and existing competitors introduce new products or services that compete with ours, or revise their pricing structures, we may be unable to attract new customers at the same price or based on the same pricing model as we have used historically. Moreover, customers may demand price concessions. As a result, we may be required from time to time to revise our pricing structure or reduce our prices, which could materially and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scale production of our satellites as planned, our business and results of operations could be materially and adversely affected.</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Our business plan is based on us building out our constellation of satellites and building satellites to fulfill our Space Systems customer orders. Our ability to achieve our production plans and deliver our products and services to our customers will depend upon many factors, including our ability to:</w:t>
      </w:r>
    </w:p>
    <w:p>
      <w:pPr>
        <w:spacing w:after="0" w:line="56" w:lineRule="exact"/>
        <w:rPr>
          <w:sz w:val="20"/>
          <w:szCs w:val="20"/>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sufficient quantities of third-party components and supplies;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train new staff while maintaining desired quality levels;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effective supplier strategy and supply chain management system; and</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manufacturing and quality control processes, which we must successfully introduce and scale for production at any new production facilities.</w:t>
      </w:r>
    </w:p>
    <w:p>
      <w:pPr>
        <w:spacing w:after="0" w:line="16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may be unable to prepare and operate production facilities for production within our planned timeframes, in a cost-effective manner or at all due to a variety of factors, including, but not limited to, a failure to acquire or lease an additional production facility, a stoppage of construction as a result of public health emergencies, geopolitical conflicts, insufficiency of utility infrastructure, unexpected construction problems, permitting and other regulatory issues, severe weather, labor disputes, and issues with subcontractors or vendors. In addition, the cost to scale satellite production may be more than we are currently forecasting based on higher plant acquisition and build out costs, higher labor costs, increases in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plant and equipment costs, increased transportation and supply chain costs and higher costs to manage and administer the plant and supply chain. Any delay or inability to build and launch satellites as we resume efforts to scale satellite production, including at the expected cost, could significantly delay or reduce expected revenue, profitability and cash flow. No assurance can be given that construction of the satellites will be completed on time or at all, or as to whether we will have sufficient funds available to complete construction if we experience unexpected delays or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Space Systems, as well as other new business lines or services may result in unforeseen risks, challenges and uncertainties.</w:t>
      </w:r>
    </w:p>
    <w:p>
      <w:pPr>
        <w:spacing w:after="0" w:line="25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2022, as a part of our go-to-market strategy, we added a new line of business, Space Systems, which allows us to sell our satellites directly to select customers for whom satellite ownership is a priority. The Space Systems business line, as well as our expansion into any other new business line or service, may subject us to unforeseen risks, challenges, and uncertainties. We may incur additional capital expenditure to support the expansion of our business and there is no guarantee that we will increase our revenues as a result of the Space Systems business line or any other new business line or service. Additionally, our failure to adequately manage costs and expenses and evaluate consumer demands with respect to the direct purchase of satellites by customers could materially and adversely affect the prospects of us achieving overall profitability through the Space Systems business line, which may require significant managerial, financial, operational and other resources. We may also face additional regulatory, legal and counterparty risks as a result of the Space Systems business line or any other new business line or service we pursue. If we fail to manage the development of new business lines or services successfully, our growth potential, business and results of operations may be materially and adversely affected.</w:t>
      </w:r>
    </w:p>
    <w:p>
      <w:pPr>
        <w:spacing w:after="0" w:line="2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build and provide certain satellite components, products and services, including to transport and launch our satellites into space and any delay could have a material and adverse impact on our business, financial condition, and results of operations.</w:t>
      </w:r>
    </w:p>
    <w:p>
      <w:pPr>
        <w:spacing w:after="0" w:line="5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We are dependent on third parties to transport our satellites and ground station equipment around the world and to launch and deliver our satellites into space. Currently there are only a few companies that offer launch services, including SpaceX, with whom we have entered into the SpaceX Agreement. We require timely and affordable access to launch services that meet our business and technical requirements to deploy our satellite constellation. If the number of companies offering launch services or the number of launches does not grow in the future, contract disputes arise with existing launch providers, or there is a consolidation among companies who offer these services, this could result in a shortage of space on these launch vehicles, which may cause prices to increase, or result in our inability to secure space on a launch vehicle and, as a result, delays in our launch schedule. Additionally, adverse events with respect to our launch service providers, such as satellite launch failures or financial difficulties (which some of these providers have previously experienced), could result in increased costs or delays in the launch of our satellites. Moreover, a shortage of transportation providers for our satellites and ground station equipment may cause our costs to increase, delays in our ability to launch our satellites and gaps in our service coverage, and adversely affect our ability to meet customer demand. Any of these situations could have a material adverse effect on our business, financial condition, and results of operations.</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Further, in the event that a launch is delayed, our timing for recognition of revenue may be impacted depending on the length of the delay and the nature of our impacted customer contracts. While such delays are common in the space industry, any delay in a launch could result in a delay in recognizing revenue which could materially and adversely impact our financial statements or result in negative impacts to our earnings during a specified time period, which could have a material adverse effect on our business, financial condition, and results of operations.</w:t>
      </w: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Although we design and build our satellites and many of our key satellite components, we rely on third party vendors and manufacturers to build and provide certain satellite components, products or services and the inability of these vendors and manufacturers to meet our needs could have a material adverse effect on our business.</w:t>
      </w:r>
    </w:p>
    <w:p>
      <w:pPr>
        <w:spacing w:after="0" w:line="6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design the core components that go into developing and manufacturing our satellites to be mission specific, partner with third parties to manufacture those components for us and then assemble, integrate and test the components and satellites in our own facilities (or support customers’ assembly, integration and testing (“AIT”) in such customers’ facilities). Our ability to manage our production line and supply of raw materials and components to meet production goals may be constrained by our suppliers’ inability to scale production. An inability to grow the number of satellites we have in orbit could jeopardize our ability to fulfill obligations under customer contracts, which could, in turn, result in reduced sales, contract penalties or terminations and damage to customer relationships and our reputation, and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impacted by increases in the prices of raw materials used in the production of our satellites. We monitor sources of supply in an effort to ensure that adequate raw materials and other components and supplies are available. Prolonged disruptions in the supply of any of our key raw materials or components, difficulty completing qualification of new sources of supply or implementing use of replacement materials, components or new sources of supply, or a continuing increase in the prices of raw materials, energy or components, including as a result of interest rate volatility, geopolitical conditions, trade restrictions or disputes, including as it relates to tariffs on raw materials or supplied components, could have a material adverse effect on our operating results, financial condition, and cash flows.</w:t>
      </w:r>
    </w:p>
    <w:p>
      <w:pPr>
        <w:spacing w:after="0" w:line="1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we cannot give any assurance that our suppliers have obtained and will be able to obtain or maintain all licenses, permits and approvals necessary for their operations to comply with all applicable laws and regulations, and failure to do so by them may lead to interruption in their business operations, which in turn may result in shortages of components supplied to us.</w:t>
      </w:r>
    </w:p>
    <w:p>
      <w:pPr>
        <w:spacing w:after="0" w:line="2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depend on ground station and cloud-based computing infrastructure operated by third parties for value added services, and any errors, disruption, performance problems or failure in their or our operational infrastructure could materially and adversely affect our business, financial condition, and results of operations.</w:t>
      </w:r>
    </w:p>
    <w:p>
      <w:pPr>
        <w:spacing w:after="0" w:line="6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including software-as-a-service offerings, of certain third parties, such as ground station infrastructure operated by two separate third-party vendors, in order to launch and deliver our satellites into space and operate some or all of certain key features or functions of our business, including deployment of our cloud-based imagery services and other geospatial and data analytic services. We do not have control over the operations of the facilities of the third parties that we use. If any of these third-party services experience errors, disruptions, security issues, or other performance deficiencies, if they are updated such that they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the delivery of our Data &amp; Analytics services, or our ability to manage our operations could be interrupted until equivalent services or technology, if available, are identified, procured, and implemented, all of which may take significant time and resources, increase our costs, and could materially and adversely affect our business, financial condition, and results of operations.</w:t>
      </w:r>
    </w:p>
    <w:p>
      <w:pPr>
        <w:spacing w:after="0" w:line="2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customer contracts may require us to meet certain minimum service requirements which can vary significantly from customer to customer. Any failure to meet our service requirements may materially and adversely affect our business, results of operations and financial condition.</w:t>
      </w:r>
    </w:p>
    <w:p>
      <w:pPr>
        <w:spacing w:after="0" w:line="5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agreements with customers may provide for minimum service level commitments, which contain specifications regarding the availability and performance of our products and services such as assured access and guaranteed capacity. Any failure of or disruption to our infrastructure could impact the performance of our satellites and the availability of our products and services to our customers. Although our customers will expect some level of potential disruption based on the product specifications and general operational conditions, if we are unable to meet any minimum service requirements or if we suffer extended periods of poor performance or unavailability of our products and services, we may lose customer contracts and suffer reputational harm which could materially and adversely affect our business, financial condition, and results of operations.</w:t>
      </w:r>
    </w:p>
    <w:p>
      <w:pPr>
        <w:spacing w:after="0" w:line="2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Market acceptance of our products and services may not continue, and our businesses are dependent upon our ability to keep pace with the latest technological changes.</w:t>
      </w:r>
    </w:p>
    <w:p>
      <w:pPr>
        <w:spacing w:after="0" w:line="5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technological change and evolving industry standards. Failure to respond in a timely and cost-effective way to these technological developments could have a material adverse effect on our business and operating results. As a result, our success will depend, in part, on our ability to develop and market service offerings that respond in a timely manner to the technological advances and needs of our customers, and evolving industry standards. In addition, although in the near term we intend to derive substantial revenues from providing our products and services to government D&amp;I agencies, in the longer term, we intend to expand our operations to serve commercial customers in a variety of markets and industries and through a wide range of applications.</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that, in order to remain competitive in the future, we will need to continue to invest significant financial resources to improve the technology of our existing products and services and develop new products and services both for existing applications and new commercial applications, including through internal R&amp;D, acquisitions and joint ventures or other collaboration arrangements. These expenditures could divert our attention and resources from other projects, and we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cannot be sure that these expenditures will ultimately lead to the timely development of new product or service offerings and technologies, or identification of and expansion into new markets and applications. In addition, following the establishment of our Space Systems business line, we are increasingly reliant on our ability to build and launch satellites quickly to meet customer demand at an attractive cost. Our profitability will be dependent on our competitiveness in this area, as our competitors advance their own ability to build and launch satellites, at greater speeds, in greater volumes, and at lower costs.</w:t>
      </w:r>
    </w:p>
    <w:p>
      <w:pPr>
        <w:spacing w:after="0" w:line="166"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7"/>
          <w:szCs w:val="17"/>
          <w:color w:val="auto"/>
        </w:rPr>
        <w:t>Due to the design complexity of our products and services, we may, in the future, experience delays in completing the development and introduction of new or enhanced products or product applications. Any such delays could result in increased costs of development or deflect resources from other projects. In addition, there can be no assurance that the market for our products or services will develop or continue to expand or that we will be successful in identifying new markets or applications as we currently anticipate. The failure of our technology to gain market acceptance could significantly reduce our planned revenues and harm our business. Market acceptance of our products and services depends on a number of factors, including the quality, scope, timeliness, sophistication, and price of substitute products and services. We cannot be sure that our competitors will not develop competing technologies that gain market acceptance in advance of our technologies or develop technologies that better meet the needs of our customers. The possibility exists that our competitors might develop new technology or offerings that might cause our existing technology and offerings to become obsolete. If we fail to develop, manufacture, and market innovative technologies that enable our products and services to meet customers’ requirements or our technologies fail to achieve market acceptance more rapidly as compared to our competitors, our ability to procure new contracts could be negatively impacted and our business may not continue to grow in line with expectations or at all. If we are unable to achieve sustained growth, we may be unable to execute our business strategy, expand our business or fund other liquidity needs and our business, financial condition, and results of operations could be materially and adversely affected.</w:t>
      </w: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acquisition candidates or consummate acquisitions on acceptable terms, or we may be unable to successfully integrate acquisitions, which could disrupt our operations and materially and adversely impact our business and operating results.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intend to continue to pursue acquisitions of complementary technologies, products and businesses as a component of our growth strategy.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involve certain known and unknown risks that could cause our sales growth or operating results to differ from our expectations. For example:</w:t>
      </w:r>
    </w:p>
    <w:p>
      <w:pPr>
        <w:spacing w:after="0" w:line="93" w:lineRule="exact"/>
        <w:rPr>
          <w:sz w:val="20"/>
          <w:szCs w:val="20"/>
          <w:color w:val="auto"/>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or to consummate acquisitions on acceptable terms;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the necessary financing, on favorable terms or at all, to finance any or all of our potential acquisitions; and</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technologies, products or businesses may not perform as we expect and we may fail to realize the anticipated benefits from the acquisition.</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our acquisition strategy may divert management’s attention away from our existing business, resulting in the loss of key customers or employees, and expose us to unanticipated problems or legal liabilities, including responsibility as a successor for undisclosed or contingent liabilities of acquired businesses or assets.</w:t>
      </w:r>
    </w:p>
    <w:p>
      <w:pPr>
        <w:spacing w:after="0" w:line="17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If we fail to effectively conduct due diligence on our potential targets, for example, we may not identify problems at target companies or we may fail to recognize incompatibilities or other obstacles to successful integration. Our inability to successfully integrate future acquisitions could impede us from realizing all of the benefits of those acquisitions and could materially weaken our business operations. The integration process may disrupt our business and, if new technologies, products or businesses are not implemented effectively, it may result in unanticipated problems, expenses, liabilities and competitive responses.</w:t>
      </w:r>
    </w:p>
    <w:p>
      <w:pPr>
        <w:spacing w:after="0" w:line="1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7"/>
          <w:szCs w:val="17"/>
          <w:color w:val="auto"/>
        </w:rPr>
        <w:t>Further, even if the operations of an acquisition are integrated successfully, we may not realize the full benefits of the acquisition, including the synergies, cost savings or growth opportunities that we expect. These benefits may not be achieved within the anticipated time frame, or at all. Further, acquisitions may cause us to issue securities that would dilute our current stockholders’ ownership percentage, use a substantial portion of our cash resources, experience volatility in earnings due to changes in contingent consideration related to acquisition earn-out liability estimates or become subject to litigation.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for our products and services which may limit our ability to gain market share.</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operate in the NewSpace sector, which refers to the increased commercialization and privatization of the space sector. Competition in our imagery services business is highly diverse, and while our competitors offer different products, there is often competition for contracts that are part of governmental budgets. The major existing and potential competitors for our products and services include commercial satellite imagery and manufacturing companies, state-owned imagery providers, aerial imagery companies, free sources of imagery and unmanned aerial vehicles. We also face competition from companies that provide geospatial data analytic information and services to the U.S. government, including defense prime contractors.</w:t>
      </w:r>
    </w:p>
    <w:p>
      <w:pPr>
        <w:spacing w:after="0" w:line="18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plan to leverage our superior unit economics and put enough satellites in orbit to remap the entire surface of the earth in high-resolution on a daily basis and, in doing so expect to deliver our data to customers at near zero marginal cost which we believe will provide us with a competitive advantage against an existing EO market that is currently supply-constrained. However, our competitors or potential competitors could, in the future, offer satellite-based imagery or other products and services with more attractive features than our products and services which could outweigh the lower cost of our products and services. Our competitors could introduce new fleets of satellites, experience fewer delays in the rollout of new satellites, and could be awarded government contracts for which we are competing. The emergence of new remote imaging technologies or the continued growth of low-cost imaging satellites could negatively affect our sales efforts. More importantly, if competitors develop and launch satellites or other imagery-content sources with more advanced capabilities and technologies than ours, or offer products and services at lower prices than ours, our business and results of operations could be harmed.</w:t>
      </w:r>
    </w:p>
    <w:p>
      <w:pPr>
        <w:spacing w:after="0" w:line="18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U.S. government and foreign governments may develop, construct, launch and operate their own imagery satellites, which could reduce their need to rely on us and other commercial suppliers. In addition, such governments could sell or provide free of charge imagery from their satellites and thereby compete with our EO services. Also, governments may at times make our imagery freely available for humanitarian purposes, which could impair our revenue growth with non-governmental organizations.</w:t>
      </w:r>
    </w:p>
    <w:p>
      <w:pPr>
        <w:spacing w:after="0" w:line="18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addition, some of our international competitors currently benefit from, and others may benefit in the future from, subsidies and other protective measures implemented by their home countries where governments are providing financial support, including significant investments in the development of new technologies. Government support of this nature greatly reduces the commercial risks associated with satellite development activities for these competitors. This market environment may result in increased pressures on our pricing and other competitive factors. While the Domestication was intended to better position ourselves to compete for U.S. government D&amp;I-related contracts, there can be no assurance that the Domestication will allow us to successfully obtain any such contracts, nor will it necessarily allow us to benefit from protective measures relating to domicile in the United States</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products and services to market, initiate or withstand substantial price competition, or develop and expand their product and service offerings more quickly than us. These competitive pressures in our market or our failure to compete effectively may result in fewer orders and reduced revenue and margins and impair our ability to acquire market share. In addition, it is possible that industry consolidation may impact customers’ perceptions of the viability of smaller or even mid-size companies and consequently customers’ willingness to purchase from such firms.</w:t>
      </w:r>
    </w:p>
    <w:p>
      <w:pPr>
        <w:spacing w:after="0" w:line="17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materially and adversely affected. In addition, companies competing with us may have an entirely different pricing or distribution model from ours. Increased competition could result in fewer customer contracts, price reductions, reduced margins, and inability to gain market share, any of which could harm our business and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foresee challenges with international operations or the regulatory environment in certain markets may unexpectedly change.</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future success will depend heavily upon our ability to oversee production operations at facilities and locations outside of our current countries of operation and management’s day-to-day oversight. Our international operations expose us to numerous challenges and risks including, but not limited to, adverse political, regulatory, legislative, and economic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conditions in various jurisdictions; costs of complying with varying governmental regulations; fluctuations in currency exchange rates; and difficulties in protecting intellectual property rights in foreign countries. Unforeseen challenges in sustaining efficient operations, decreases in product quality, language and cultural differences, political and economic unrest, unexpected changes in the regulatory environment or theft of intellectual property from our satellite production facilities, or other yet-undiscovered challenges, could materially and adversely affect us, our business, financial position,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machine learning, and related technologies in our business present risks and challenges that could adversely affect us.</w:t>
      </w:r>
    </w:p>
    <w:p>
      <w:pPr>
        <w:spacing w:after="0" w:line="11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use AI, machine learning, and related technologies in our business, and we expect to continue to incorporate AI and machine learning into our business operations and invest resources in AI and machine learning tools. Our investment in AI and machine learning tools and technologies may not provide the anticipated benefits, and the increasing use of AI and machine learning technologies present many challenges and risks to our business. Flaws in AI algorithms or datasets or the failure to implement adequate safeguards may lead to unintended consequences, such as operational disruptions, data loss or erroneous decision-making, which could adversely impact our business relationships, reputation, or business operations. Introducing new AI and machine learning tools may also increase the risk of data security breaches or other cybersecurity threats, improper handling of private or sensitive information or inadvertent loss of our intellectual property rights, any of which could result in adverse consequences, including costly claims, litigation, regulatory investigations, and penalties. The increasing use of AI and machine learning technologies in our industry may also adversely affect our business if our competitors incorporate AI and machine learning into their business, services, and products more rapidly or more successfully than us, which could hinder our ability to compete effectively and adversely affect our results of operations. In addition, the legal and regulatory environment surrounding AI and machine learning technology is evolving and complex. Regulation of AI tools and their use, such as the European Union’s Artificial Intelligence Act adopted in 2024, can be expected to intensify in many countries and regions. Compliance with the evolving regulatory landscape may entail significant costs, require us to change aspects of our technologies or business practices, or otherwise negatively affect us. Any of these or other emerging risks associated with AI or machine learning could materially and adversely affect our reputation, business, and results of operations.</w:t>
      </w:r>
    </w:p>
    <w:p>
      <w:pPr>
        <w:spacing w:after="0" w:line="2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complex and could have unknown defects or errors, which may increase our costs, harm our reputation with customers, give rise to costly litigation, or divert our or our customers’ resources from other purposes.</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employ sophisticated design and testing processes and practices. Nevertheless, our products and services may contain defects or errors, or experience performance problems when first introduced, when new versions or enhancements are released, or even after these products have been in use for a period of time. Our systems may not be successfully implemented, pass required acceptance criteria, or operate or give the desired output, or it may not be able to detect and fix all defects in our satellites and our Data &amp; Analytics services, or resolve any delays or availability issues in the launch services we procure. These problems could result in expensive and time-consuming design modifications, delays in the introduction of new products or enhancements, significant increases in our service and maintenance costs, termination of contracts for convenience or cause, diversion of our personnel’s attention from our product development efforts, exposure to liability for damages, damaged customer relationships, and harm to our reputation, any of which could materially and adversely harm our results of operations. In addition, increased development costs could be substantial.</w:t>
      </w:r>
    </w:p>
    <w:p>
      <w:pPr>
        <w:spacing w:after="0" w:line="28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adequate capital to finance our business strategies, including funding future satellites, or we may be able to do so only on terms that significantly restrict our ability to operate our business.</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Implementation of our business strategy, such as expanding our satellite constellation and our product and service offerings, requires a substantial outlay of capital. As we pursue our business strategies and seek to respond to opportunities and trends in our industry, our actual capital expenditures may differ from our expected capital expenditures. The nature of our business also requires us to make capital expenditure decisions in anticipation of customer demand, and we may not be able to correctly predict such demand. If our customer demand exceeds our ability to respond to that demand, we may not be able to fully capture the growth in demand.</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cannot provide assurances that our businesses will generate sufficient cash flow from operations in the future or that additional capital will be available in amounts sufficient to enable us to execute our business strategies. Our ability to satisfy our longer-term liquidity will depend primarily on our ability to grow our revenue and meet our revenue targets,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 funding may be required for a variety of reasons. The availability and cost to us of external financing depend on a number of factors, including general market conditions, our financial performance and our credit rating. Both our credit rating and our ability to obtain financing generally may be influenced by the supply and demand characteristics of our industry generally. Declines in our expected future revenue under contracts with customers and challenging business conditions faced by our customers are among factors that may adversely affect our credit. Other factors that could impact our credit include the amount of debt in our capital structure, activities associated with our strategic initiatives, our expected future cash flows, and the capital expenditures required to execute our business strategy. The overall impact on our financial condition of any transaction that we pursue may be negative or may be negatively perceived by the financial markets and ratings agencies, and may result in adverse rating agency actions with respect to any credit rating we may have from time to time. Disruption in the capital markets, including as a result of interest rate volatility and geopolitical instability, a deterioration in our financial performance or a credit rating downgrade could limit our ability to obtain financing or could result in any such financing being available only at greater cost or on more restrictive terms than might otherwise be available.</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Long-term disruptions in the capital and credit markets as a result of uncertainty due to adverse macroeconomic conditions, an uncertain regulatory environment or geopolitical conflict could adversely affect our access to capital. If financial market disruptions occur, it may become difficult for us to raise additional capital or refinance debt when needed, on acceptable terms or at all. Any disruption could require us to take measures to conserve cash until the markets stabilize or until alternative credit arrangements or other funding for our business needs can be arranged. Such measures could include deferring capital expenditures and reducing or eliminating other discretionary uses of cash, which could materially and adversely impact our business and our ability to execute our business strategies.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Satellites and Industry</w:t>
      </w:r>
    </w:p>
    <w:p>
      <w:pPr>
        <w:spacing w:after="0" w:line="3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depends on the successful production, launch, commissioning and/ or operation of our satellites and related ground systems, software and analytic technologies, which is subject to many uncertainties, some of which are beyond our control.</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current primary R&amp;D objectives focus on the development of satellites and related components that can remap the entire surface of the Earth in high resolution as well as our EO services, including creating a catalog of archived data. While we currently have 19 satellites in orbit, we estimate the gross costs associated with designing, building, and launching our satellites to continue to build out our constellation will be significant, and there can be no assurance that we will complete these deployments on a timely basis, on budget or at all. Design, manufacture and launch of satellite systems are highly complex and historically have been subject to delays and cost over-runs. If we do not complete development and manufacturing of additional satellites in our anticipated timeframes or at all, our ability to grow our business will be adversely affected. The successful development, integration, and operation of our satellites and our Data &amp; Analytics services involves many uncertainties, some of which are beyond our control, including, but not limited to:</w:t>
      </w:r>
    </w:p>
    <w:p>
      <w:pPr>
        <w:spacing w:after="0" w:line="82" w:lineRule="exact"/>
        <w:rPr>
          <w:sz w:val="20"/>
          <w:szCs w:val="20"/>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in finalizing satellite design and specifications;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satellites meeting design specifications;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satellites as a result of technological or manufacturing difficulties, design issues or other unforeseen matters;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and/or manufacturing performance failing or falling below expected levels of output or efficiency;</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materials and supplied components and services;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 scope;</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applicable approvals, licenses or certifications from regulatory agencies, if required, and to maintain current approvals, licenses or certifications;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manufacturing facilities despite risks that disrupt productions, such as natural disasters, catastrophic events or labor disputes;</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 limited number of suppliers for certain raw materials and supplied components, the accuracy of supplier representations as to the suitability of such raw materials and supplied components for our products, and their willingness to do business with us;</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internal and third-party resources that support our R&amp;D activities;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60" w:hanging="315"/>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critical to the design and function of our satellites and our EO services;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funding and maintaining our R&amp;D activities;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demonstration missions; and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on us, our customers and suppliers, and the global economy.</w:t>
      </w:r>
    </w:p>
    <w:p>
      <w:pPr>
        <w:spacing w:after="0" w:line="21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occurrence or failure of any of the above events, as applicable, could have a material adverse effect on our ability to continue to develop, integrate and operate our satellites and related infrastructure, products, and services, which could materially adversely affect our business, financial condition, and results of operations.</w:t>
      </w:r>
    </w:p>
    <w:p>
      <w:pPr>
        <w:spacing w:after="0" w:line="2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and services has not been established with precision, is still emerging and may not achieve the growth potential we expect or may grow more slowly than expected.</w:t>
      </w:r>
    </w:p>
    <w:p>
      <w:pPr>
        <w:spacing w:after="0" w:line="5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market for Data &amp; Analytics services and Space Systems has not been established with precision as the commercialization of space is a relatively new development and is rapidly evolving. Our views of the total addressable market are based on a number of third-party reports which may or may not accurately reflect future market size and growth. As a result, our views of the total addressable market for our products and services may prove to be incorrect. In addition, if interest in our Data &amp; Analytics services and Space Systems by customers, or the expected growth in commercial applications for Data &amp; Analytics services and Space Systems, is less than expected, or our satellite and related technologies are unable to meet expected customer expectations and demand, our business and financial results will be materially and adversely affected.</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changing technology and evolving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we may not be able to grow our business.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2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satellites and related equipment become impaired, it could have a material adverse effect on our business, financial condition, and results of operations.</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evaluate our satellites for impairment and test for recoverability whenever events or changes in circumstances indicate that their carrying amount may not be recoverable. Certain of the anomalies disclosed below may be considered to represent a significant adverse change in the physical condition of a particular satellite. There can be no assurance as to the actual operational life of a satellite or that the operational life of individual components will be consistent with their design life. A number of factors will impact the useful lives of our satellites, including, among other things, the quality of their design and construction, the durability of their component parts, and the occurrence of any anomaly or series of anomalies or other risks affecting the satellites during launch and in orbit. We currently anticipate the useful life of an operational satellite to be approximately three years. If our satellites and related equipment have shorter useful lives than we currently anticipate, this may lead to delays in increasing the rate of our commercial payloads and declines in actual or planned revenues, which would have a material adverse effect on our business, financial condition, and results of operations.</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Long-lived assets are tested periodically for impairment or whenever there is an indication that an asset may be impaired. Disruptions to our business, unexpected significant declines in our operating results, adverse technological events or changes in the regulatory environments in which we operate may result in impairment charges to our assets. Any future impairment charges could substantially affect our reported results.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satellites fail to operate as intended, it could have a material adverse effect on our business, financial condition, and results of operations.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rely on data obtained from our satellites in order to provide services to our customers. We may become unable or limited in our ability to collect such data. For example, satellites can temporarily go out of service and be recovered, or cease to function, including the quality of design and construction, the rate of consumption of the propellant supply, the expected gradual environmental degradation of solar panels, the durability of various satellite components and the orbits and space environments in which the satellites are placed and operated. The accumulated effects of solar radiation and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single event upsets or electronic/catch-up events from the collision of charged particles, collisions with other objects (including, but not limited to, space debris and other spacecraft) or actions by malicious actors, including cyber-related actions, could also damage the satellites and subject us to liabilities for any damages caused to other spacecraft.</w:t>
      </w:r>
    </w:p>
    <w:p>
      <w:pPr>
        <w:spacing w:after="0" w:line="17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manufacturing, testing, launching and operation of satellites involves complex processes and technology. Our satellites employ advanced technologies and sensors that are exposed to severe environmental stresses that have affected and could affect the performance of our satellites. Hardware component problems could lead to deterioration in performance or loss of functionality of a satellite. In addition, human operators may execute improper implementation commands that may negatively impact a satellite’s performance. Exposure of our satellites to an unanticipated catastrophic event, such as a meteor shower or a collision with space debris, could reduce the performance of, or completely destroy, the affected satellite. Even if a satellite is operated properly, minor technical flaws in the satellite’s sensors could significantly degrade its performance, which could materially affect our ability to collect imagery and market our products and services successfully.</w:t>
      </w:r>
    </w:p>
    <w:p>
      <w:pPr>
        <w:spacing w:after="0" w:line="18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Satellites can experience malfunctions, commonly referred to as anomalies, which have occurred and may occur in the future in our satellites. Anomalies can occur as a result of various factors, such as satellite manufacturer error, whether due to the use of new or largely unproven technology or due to a design, manufacturing or assembly defect that was not discovered before launch and general failures resulting from operating satellites in the space environment. Any single anomaly could materially 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In addition, if a satellite or satellites experience a malfunction, the satellite capacity of our non-impacted network may be insufficient to meet all of our customers’ needs or may cause service interruptions, and we may need to potentially blackout or reduce service to certain customers, which would adversely affect our relationships with our customers and result in loss of revenues. Although we work diligently both internally and with our suppliers to determine and eliminate the cause of anomalies in new satellites and provide for redundancies of many critical components in our satellites, we may not be able to prevent the impact of anomalies in the future.</w:t>
      </w:r>
    </w:p>
    <w:p>
      <w:pPr>
        <w:spacing w:after="0" w:line="19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cannot provide assurances that our satellites will continue to operate successfully in space throughout their expected operational lives. Even if a satellite is operated properly, technical flaws in that satellite’s sensors or other technical deficiencies or anomalies could significantly hinder its performance, which could materially affect our ability to collect imagery and market our products and services successfully. While certain software deficiencies may be corrected remotely, most, if not all, anomalies or debris collision damage cannot be corrected once the satellites are placed in orbit. Further, 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satellites should a collision occur. Recent years have seen increases in the number of satellites deployed to low Earth orbits, and publicly announced plans call for many thousands of additional satellite deployments over the next decade. The proliferation of these low Earth orbit constellations could materially increase the risk of potential collision with space debris or another spacecraft despite the orbital debris mitigation requirements of the U.S. government, and could affect our ability to effectively access sufficient orbital slots to support the expected growth across our business.</w:t>
      </w:r>
    </w:p>
    <w:p>
      <w:pPr>
        <w:spacing w:after="0" w:line="192"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If we suffer a partial or total loss of a deployed satellite, it could require a significant amount of time and could incur substantial expense to replace that satellite. We may experience other problems with our satellites that may reduce their performance. If a satellite is not fully operational, we may lose most or all of the revenue that otherwise would have been derived from that satellite and may not be able to provide adequate services to our customers, which may cause us to incur penalties under our contracts or may allow our customers to withhold payment for the time that service was impacted. Our inability to repair or replace a defective satellite or correct any other technical problem in a timely manner could result in a significant loss of revenue. If a satellite experiences a significant anomaly such that it becomes impaired or is no longer functional, it could significantly impact our business, prospects, and profitability.</w:t>
      </w:r>
    </w:p>
    <w:p>
      <w:pPr>
        <w:spacing w:after="0" w:line="17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Many satellites have redundant or backup systems and components that operate in the event of an anomaly, operational failure or degradation of primary critical components, but these redundant or backup systems and components are subject to risk of failure similar to those experienced by the primary systems and components. The occurrence of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failure of any of these redundant or backup systems and components could materially impair the useful life, capacity, or operational capabilities of the satellite.</w:t>
      </w:r>
    </w:p>
    <w:p>
      <w:pPr>
        <w:spacing w:after="0" w:line="2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Satellites are subject to production and launch delays, launch failures, and damage or destruction during launch, the occurrence of which could materially and adversely affect our operations.</w:t>
      </w:r>
    </w:p>
    <w:p>
      <w:pPr>
        <w:spacing w:after="0" w:line="5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Delays in the production of future satellites and the manufacture or procurement of requisite components and launch vehicles, limited availability of appropriate launch windows, possible delays in obtaining regulatory approvals, satellite damage or destruction during launch, launch failures, or incorrect orbital placement could have a material adverse effect on our business, financial condition, and results of operations. The loss of, or damage to, a satellite due to a launch failure could result in significant delays in the anticipated revenue to be generated by that satellite. Any significant delay in the commencement of service of a satellite could delay or potentially permanently reduce the revenue anticipated to be generated by that satellite. In addition, if the loss of a satellite were to occur, we may not be able to accommodate affected customers with our other satellites or data from another source until a replacement satellite is available, and we may not have on hand, or be able to obtain in a timely manner, the necessary funds to cover the cost of any necessary satellite replacement. An extended launch delay beyond planned contingency, launch failure, underperformance, delay or perceived delay could have a material adverse effect on our business prospects, financial condition, and results of operations. If delays were to occur and our remediation measures and process changes were not successful or if we experience issues with planned manufacturing improvements or design and safety, we could experience issues in scaling up further satellite production. Such delays could cause us to fail to reach our goal of expanding and scaling our constellation of satellites. A failure to reach a sufficient number of satellites in our constellation may impact the revisit rates we are able to offer our customers and limit our product offerings, thereby making us less attractive to existing and potential customers.</w:t>
      </w:r>
    </w:p>
    <w:p>
      <w:pPr>
        <w:spacing w:after="0" w:line="19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Launch vehicles may also underperform, in which case the satellite may still be placed into service by using its onboard propulsion systems to reach the desired orbital location, resulting in a reduction in its service life. In addition, although we intend to purchase launch insurance on all of our launches, if we were not able to obtain launch insurance on commercially reasonable terms and a launch failure were to occur, we would directly suffer the loss of the cost of the satellite and related costs.</w:t>
      </w:r>
    </w:p>
    <w:p>
      <w:pPr>
        <w:spacing w:after="0" w:line="2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insurance or insurance coverage may be insufficient or unavailable on acceptable cost and terms, if at all.</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endeavor to obtain insurance coverage from established insurance carriers to cover certain risks and liabilities related to our business. However, the amount of insurance coverage that we maintain may not be adequate to cover all claims or liabilities. Obtaining adequate insurance poses challenges as the price and availability of insurance fluctuates significantly and insurance market conditions or factors outside our control at the time we are in the market for the required insurance, such as failure of a satellite using similar components,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or we may be forced to purchase lower-cost policies that include terms less favorable to us, such as additional coverage exclusions or higher deductibles. If the terms of insurance policies become less favorable than those currently available, there may be limits on the amount of coverage that we can obtain, or we may not be able to obtain insurance at all.</w:t>
      </w:r>
    </w:p>
    <w:p>
      <w:pPr>
        <w:spacing w:after="0" w:line="318"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8"/>
          <w:szCs w:val="18"/>
          <w:color w:val="auto"/>
        </w:rPr>
        <w:t>Further, existing coverage may be canceled while we remain exposed to the relevant risks and we are unable to obtain insurance to protect against all operational risks, natural hazards and liabilities. Although we maintain insurance policies that we believe to be adequate,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such claim could nevertheless diminish our brand and divert management’s attention and resources, which could have a negative impact on our business, financial condition, and results of operations.</w:t>
      </w:r>
    </w:p>
    <w:p>
      <w:pPr>
        <w:spacing w:after="0" w:line="222"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have historically purchased pre-launch and launch insurance to address the risk of potential systemic anomalies, failures, collisions with our satellites or other satellites or debris, or catastrophic events during launch, to the extent that insurance was available on acceptable premiums and other terms. The insurance proceeds received in connection with a partial or total loss of the functional capacity of any of our satellites would not be sufficient to cover the replacement cost of an equivalent satellite if we choose to replace such impacted satellite. In addition, this insurance will not protect us against all losses to our satellites due to specified exclusions, applicable deductibles and material change limitations, and 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difficult to insure against certain risks, including a partial deterioration in satellite performance and satellite re-entry.</w:t>
      </w:r>
    </w:p>
    <w:p>
      <w:pPr>
        <w:spacing w:after="0" w:line="20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Although we maintain pre-launch and launch insurance coverage for our satellites, we do not maintain in-orbit lifecycle insurance coverage. Any damage or destruction to our satellites while in orbit as a result of anomalies, failures, collisions with our satellites or other satellites or debris, radiation damage or other catastrophic event will not be covered by insurance, and accordingly, we will be required to pay for the repair or replacement of such satellite which may have a material adverse effect on our financial condition, and results of operations.</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do not maintain third-party liability insurance with respect to our satellites. Accordingly, we currently have no insurance to cover any third-party damages that may be caused by any of our satellites, including personal and property insurance. If we experience significant uninsured losses, such events could have a material adverse impact on our business, financial condition, and results of operations.</w:t>
      </w:r>
    </w:p>
    <w:p>
      <w:pPr>
        <w:spacing w:after="0" w:line="2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Coordination results may adversely affect our ability to use our satellites in certain orbital locations for our proposed service or coverage area or may delay our ability to launch satellites and thereby limit our ability to provide our proposed services.</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required to record orbital locations and operational parameters of our satellites with the ITU (as defined below) and to coordinate with other satellite operators and national administrations the use of these orbital locations and operational parameters in order to avoid interference to or from other satellites. The results of coordination may adversely affect our use of our satellites using certain orbital locations and the type of applications or services that we can accommodate. If we are unable to coordinate our satellites by specified deadlines, we may not be able to use our satellites or certain orbital locations for our proposed service or coverage area, or we may lose interference protection for our satellites. The use of our satellites may also be temporarily or permanently adversely affected if the operation of other satellite networks do not conform to coordination agreements resulting in the acceptable interference levels being exceeded (such as due to operational errors associated with the transmissions to other satellite networks).</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Natural disasters, unusual weather conditions, pandemic or epidemic outbreaks, terrorist acts and geopolitical events could disrupt our business or satellite launch schedules. Interruption or failure of our infrastructure could hurt our ability to effectively perform our daily operations and provide and produce our products and services, which could damage our reputation and materially and adversely affect our operating results.</w:t>
      </w:r>
    </w:p>
    <w:p>
      <w:pPr>
        <w:spacing w:after="0" w:line="6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vulnerable to natural disasters and significant disruptions including tsunamis, floods, earthquakes, fires, water shortages, other extreme or unusual weather conditions, epidemics or pandemics, acts of terrorism or disruptive geopolitical events where our facilities or the launch facilities of our transport partners are located, or where our third-party suppliers’ facilities are located, power shortages and blackouts, aging infrastructures and telecommunications failures. Furthermore, climate change has increased, and may continue to increase, the rate, size and scope of these natural disasters. In the event of such a natural disaster or other disruption, we could experience disruptions to our operations or the operations of suppliers, subcontractors, distributors or customers, which could affect our ability to maintain launch schedules or fulfill our customer contracts.</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availability of many of our Data &amp; Analytics services depends on the continuing operation of our satellite operations infrastructure, satellite manufacturing operations, information technology and communications systems, some of which are supported by third-party vendors that are not under our control. Any downtime, damage to or failure of our systems could result in interruptions in our service, which could reduce our revenues. Our systems are vulnerable to damage or interruption from floods, fires, power loss, aging infrastructure, telecommunications failures, computer viruses, computer denial of service attacks or other attempts to harm our systems. In the event we are unable to collect, process and deliver imagery from our facility, our daily operations and operating results would be materially and adversely affected. In addition, our ground terminal centers are vulnerable to damage or interruption from human error, intentional bad acts, earthquakes, hurricanes, floods, fires, war, terrorist attacks, power losses, hardware failures, systems failures, aging infrastructure, telecommunications failures and similar events.</w:t>
      </w:r>
    </w:p>
    <w:p>
      <w:pPr>
        <w:spacing w:after="0" w:line="185"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occurrence and impact of any of the foregoing is difficult to predict, but one or more of them could result in lengthy interruptions in our services and/or damage our reputation, which could have a material adverse effect on our business, financial condition, results of operations, and/or cash flows.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Prolonged unfavorable weather conditions could negatively impact our operations.</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order for satellites to collect and deliver imagery effectively, the satellite must be able to view the desired area on a certain day and at a certain time as it passes overhead. Adverse weather conditions, such as clouds or haze, may prevent satellites from collecting data and imagery or could cause the satellite to experience technical difficulties communicating with the ground terminals or collecting imagery in the same quality or volume that was intended. In addition, space weather, such as solar flares, could take our satellites out of orbit, disrupt our ground communication networks and affect the decay rate of our satellites. The occurrence of any of the foregoing could result in lengthy interruptions in our services and/or damage our reputation, which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Change in Our Place of Incorporation</w:t>
      </w:r>
    </w:p>
    <w:p>
      <w:pPr>
        <w:spacing w:after="0" w:line="24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Previously, our organizational documents were governed by BVI law but upon effectiveness of the Domestication, they are now governed by Delaware law.</w:t>
      </w:r>
    </w:p>
    <w:p>
      <w:pPr>
        <w:spacing w:after="0" w:line="199"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Following the Domestication, our organizational documents have changed and are now governed by Delaware law rather than BVI law. These new organizational documents and Delaware law contain provisions that differ in some respects from those in our previous organizational documents and BVI law. For a more detailed description regarding our new organizational documents, please see “Description of Registrant’s Securities” attached to this Report as Exhibit 4.1.</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Domestication, we lost our foreign private issuer (“FPI”) status and are now required to comply with the Exchange Act’s domestic reporting regime, which may cause us to incur significant legal, accounting and other expenses.</w:t>
      </w:r>
    </w:p>
    <w:p>
      <w:pPr>
        <w:spacing w:after="0" w:line="187"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Prior to the effectiveness of the Domestication, we qualified as an FPI and therefore we were not required to comply with all of the periodic disclosure and current reporting requirements of the Exchange Act applicable to U.S. domestic issuers. Following the Domestication, we are no longer an FPI and are now required to comply with all of the periodic disclosure and current reporting requirements of the Exchange Act applicable to U.S. domestic issuers, which are more detailed and extensive than the requirements for FPIs. We were also required to make changes in our corporate governance practices in accordance with various SEC and Nasdaq rules. The regulatory and compliance costs to us under U.S. securities laws to comply with the reporting requirements applicable to a U.S. domestic issuer will likely be significantly higher than the cost we have historically incurred as an FPI. As a result, we expect that the loss of FPI status will increase our legal and financial compliance costs and will make some activities highly time consuming and costly. We expect that complying with the rules and regulations applicable to U.S. domestic issuers will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and members of our senior management.</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or current management and may adversely affect the market price of our common stock.</w:t>
      </w:r>
    </w:p>
    <w:p>
      <w:pPr>
        <w:spacing w:after="0" w:line="18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Following the Domestication, our Delaware certificate of incorporation and bylaws contain certain provisions that could delay or prevent a change in control of our company. These provisions could also make it difficult for stockholders to elect directors that are not nominated by the current members of our Board or take other corporate actions, including effecting changes in our management. These provisions include:</w:t>
      </w:r>
    </w:p>
    <w:p>
      <w:pPr>
        <w:spacing w:after="0" w:line="197" w:lineRule="exact"/>
        <w:rPr>
          <w:sz w:val="20"/>
          <w:szCs w:val="20"/>
          <w:color w:val="auto"/>
        </w:rPr>
      </w:pPr>
    </w:p>
    <w:p>
      <w:pPr>
        <w:ind w:left="640" w:hanging="314"/>
        <w:spacing w:after="0" w:line="260"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three-year staggered terms, which could delay the ability of stockholders to change the membership of a majority of our Board;</w:t>
      </w:r>
    </w:p>
    <w:p>
      <w:pPr>
        <w:spacing w:after="0" w:line="203"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the expansion of our Board or the resignation, death or removal of a director, which prevents stockholders from being able to fill vacancies on our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4"/>
        <w:spacing w:after="0" w:line="260"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(unless unanimous), which may force stockholder action to be taken at an annual or special meeting of our stockholders;</w:t>
      </w:r>
    </w:p>
    <w:p>
      <w:pPr>
        <w:spacing w:after="0" w:line="190" w:lineRule="exact"/>
        <w:rPr>
          <w:rFonts w:ascii="Times New Roman" w:cs="Times New Roman" w:eastAsia="Times New Roman" w:hAnsi="Times New Roman"/>
          <w:sz w:val="18"/>
          <w:szCs w:val="18"/>
          <w:color w:val="auto"/>
        </w:rPr>
      </w:pPr>
    </w:p>
    <w:p>
      <w:pPr>
        <w:jc w:val="both"/>
        <w:ind w:left="640" w:hanging="314"/>
        <w:spacing w:after="0" w:line="24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or at the direction of the Board, acting pursuant to a resolution adopted by the affirmative vote the majority of the total number of directors then in office, or by the chairperson of the Board (who is required to call such meeting whenever requested in writing by stockholders representing at least 30% of the voting power of the outstanding voting stock), which could delay the ability of our stockholders to force consideration of a proposal or to take action, including the removal of directors;</w:t>
      </w:r>
    </w:p>
    <w:p>
      <w:pPr>
        <w:spacing w:after="0" w:line="216"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by majority vote, to amend our bylaws, which may allow our Board to take additional actions to prevent an unsolicited takeover and inhibit the ability of an acquirer to amend our bylaws to facilitate an unsolicited takeover attempt;</w:t>
      </w:r>
    </w:p>
    <w:p>
      <w:pPr>
        <w:spacing w:after="0" w:line="190" w:lineRule="exact"/>
        <w:rPr>
          <w:rFonts w:ascii="Times New Roman" w:cs="Times New Roman" w:eastAsia="Times New Roman" w:hAnsi="Times New Roman"/>
          <w:sz w:val="18"/>
          <w:szCs w:val="18"/>
          <w:color w:val="auto"/>
        </w:rPr>
      </w:pPr>
    </w:p>
    <w:p>
      <w:pPr>
        <w:jc w:val="both"/>
        <w:ind w:left="640" w:hanging="314"/>
        <w:spacing w:after="0" w:line="25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197" w:lineRule="exact"/>
        <w:rPr>
          <w:rFonts w:ascii="Times New Roman" w:cs="Times New Roman" w:eastAsia="Times New Roman" w:hAnsi="Times New Roman"/>
          <w:sz w:val="18"/>
          <w:szCs w:val="18"/>
          <w:color w:val="auto"/>
        </w:rPr>
      </w:pPr>
    </w:p>
    <w:p>
      <w:pPr>
        <w:jc w:val="both"/>
        <w:ind w:left="640" w:hanging="314"/>
        <w:spacing w:after="0"/>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opted out of Section 203 of the DGCL, our Delaware certificate of incorporation a prohibition on engaging in any business combination (as defined in our Delaware certificate of incorporation) with an “interested stockholder” for a period of three years subsequent to the time that the stockholder became an interested stockholder, unless (1) prior to such time, the Board approves the business combination or the transaction in which the stockholder became an interested stockholder, (2) upon completion of the transaction that resulted in the stockholder becoming an interested stockholder, the interested stockholder owns at least 85% of the outstanding voting stock (with certain exclusions), or (3) at or after the person becomes an interested stockholder, the business combination is approved by the Board and authorized by a vote of at least 66 2/3% of the outstanding voting stock not owned by the interested stockholder (our Delaware certificate of incorporation provides that the Liberty Investor, Cantor Fitzgerald L.P. and Emiliano Kargieman and any of their respective affiliates and associates will not constitute “interested stockholders” for purposes of these provisions).</w:t>
      </w:r>
    </w:p>
    <w:p>
      <w:pPr>
        <w:spacing w:after="0" w:line="213"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may prohibit or deter large stockholders, in particular those owning 15% or more of our outstanding voting stock, from merging or combining with us for a certain period of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anticipated benefits of the Domestication are subject to numerous risks and uncertainties, and may not materialize.</w:t>
      </w:r>
    </w:p>
    <w:p>
      <w:pPr>
        <w:spacing w:after="0" w:line="236"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8"/>
          <w:szCs w:val="18"/>
          <w:color w:val="auto"/>
        </w:rPr>
        <w:t>Acquiring D&amp;I related governmental contracts, including D&amp;I contracts with U.S. governmental agencies, is part of our growth strategy. We anticipate that the Domestication will reduce barriers to our pursuit of D&amp;I-related contracts with U.S. governmental customers. However, our ability to obtain defense-related contracts with U.S. governmental customers is subject to numerous risks, including among others, the demand for EO services (or the demand for their incorporation into defense programs), our ability to comply with laws, regulations and rules applicable to U.S. governmental customers designed to mitigate against the potential for undue foreign ownership control and ownership, including our ability to make changes to our management and corporate governance structure in order to comply with such laws, rules and regulations, changes in government administration and national priorities, competition from other suppliers, and consolidation amongst U.S. defense industry contractors, which may decrease our relative bargaining power. Any such adverse impact to our ability to successfully obtain D&amp;I-related contracts with U.S. governmental agencies following the Domestication may negatively impact our business and financial condition.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Delaware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194"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Our Delaware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DGCL or our Delaware certificate of incorporation or our Delaware bylaws, or (iv) any action asserting a claim against the Company or any director or officer of the Company governed by the internal affairs doctrine. Any person or entity purchasing or otherwise acquiring any interest in shares of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3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U.S. export and import control laws and regulations. Unfavorable changes in these laws and regulations or U.S. government licensing policies, our failure to maintain U.S. government authorizations under these laws and regulations, or our failure to comply with these laws and regulations could have a material adverse effect on our business, financial condition, and results of operations.</w:t>
      </w:r>
    </w:p>
    <w:p>
      <w:pPr>
        <w:spacing w:after="0" w:line="6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have a global supply chain of upstream and downstream partners including manufacturers, suppliers and launch providers from a number of countries including the U.S. Based on these activities and our obligations under our NOAA licenses, we are required to comply with U.S. export control laws and regulations, including the Export Administration Regulations (“EAR”), administered by the U.S. Department of Commerce’s Bureau of Industry and Security. Pursuant to this regulation, we may be required, among other things, to (i) determine the proper licensing jurisdiction and export classification of products, software, and technology, and (ii) obtain licenses or other forms of U.S. government authorization to conduct some business related transactions.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our products, software and technical information to our non-U.S. employees (called “deemed exports”).</w:t>
      </w:r>
    </w:p>
    <w:p>
      <w:pPr>
        <w:spacing w:after="0" w:line="18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inability to secure and maintain other necessary export authorizations could negatively impact our ability to successfully compete or to operate our business as planned. For example, if we were unable to obtain or maintain our licenses to export certain spacecraft hardware, we would effectively be prohibited from launching our satellites from certain non-U.S. locations, which would limit the number of launch providers we could use. In addition, if we were unable to obtain a Department of State Technical Assistance Agreement to export certain launch related services, we would experience difficulties with or even be unable to perform integration activities necessary to safely integrate our transfer satellites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satellite launches.</w:t>
      </w:r>
    </w:p>
    <w:p>
      <w:pPr>
        <w:spacing w:after="0" w:line="185"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7"/>
          <w:szCs w:val="17"/>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U.S. government has in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16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In addition, U.S. export control laws continue to change. For example, the control lists under the ITAR and the EAR are periodically updated to reclassify specific types of export-controlled technology, meaning that any changes to the jurisdictional assignment of controlled data or hardware used by us could result in the need for different export authorizations, each then subject to a subsequent approval. Similarly, should exceptions or exemptions under the EAR or ITAR, respectively, be changed, our activities otherwise authorized via these mechanisms may become unavailable and could result in the need for additional export authorizations.</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Additionally, changes to the administrative implementation of export control laws at the agency level may suddenly occur as a result of geopolitical events, which could result in existing or proposed export authorization applications being viewed in unpredictable ways, or potentially rejected, as a result of the changed agency level protocol.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business and operations require that we operate in compliance with and under the purview of some U.S. regulatory bodies.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recent changes related to our positioning to serve U.S. government customers, our satellite operations are subject to U.S. regulation.</w:t>
      </w:r>
    </w:p>
    <w:p>
      <w:pPr>
        <w:spacing w:after="0" w:line="11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raw data collected by our constellation is collected through a series of ground stations strategically located in several global locations. We have a primary mission command control center in the U.S. that has ultimate operational control of our constellation and is supported by additional teams in each of Spain and Argentina. With the shift of ultimate operational constellation control to the U.S., Satellogic filed for an operator’s license with NOAA which was granted in November 2023. We are currently pursuing a license with the Federal Communications Commission (“FCC”). We also are subject, directly and through our contract with SpaceX for launch of our satellites, to the U.S. regulations of FAA licensing requirements. We have taken appropriate measures to ensure full compliance with these and similar regulations.</w:t>
      </w:r>
    </w:p>
    <w:p>
      <w:pPr>
        <w:spacing w:after="0" w:line="2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successful in becoming a U.S. governmental contractor, our business will be subject to significant U.S. regulations, and reductions or changes in U.S. government spending, including the U.S. defense budget, could reduce our revenue and adversely affect our business.</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 large part of our growth strategy includes obtaining U.S. governmental agency customers, particularly in D&amp;I, as well as U.S. commercial customers. If or when we contract with the U.S. government or, in certain circumstances, retain services from U.S. service providers, we must comply with a variety of U.S. laws and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any contracts between us and the U.S. government.</w:t>
      </w:r>
    </w:p>
    <w:p>
      <w:pPr>
        <w:spacing w:after="0" w:line="76" w:lineRule="exact"/>
        <w:rPr>
          <w:sz w:val="20"/>
          <w:szCs w:val="20"/>
          <w:color w:val="auto"/>
        </w:rPr>
      </w:pPr>
    </w:p>
    <w:p>
      <w:pPr>
        <w:jc w:val="both"/>
        <w:ind w:left="960" w:hanging="315"/>
        <w:spacing w:after="0" w:line="249"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future contracts with U.S. and international defense contractors or directly with the U.S. government may be on a commercial item basis, eliminating the requirement to disclose and certify cost data. To the extent that there are interpretations or changes in the Federal Acquisition Regulations (“FAR”) regarding the qualifications necessary to sell commercial items, there could be a material impact on our business and operating results. For example, there have been legislative proposals to narrow the definition of a “commercial item” (as defined in the FAR) or to require cost and pricing data on commercial items that could limit or adversely impact our ability to contract under commercial item terms. Changes in regulatory application to our business could be accelerated due to changes in our mix of business, in federal regulations, or in the interpretation of federal regulations, which may subject us to increased oversight by the Defense Contract Audit Agency for certain of our products or services. Such changes could also trigger contract coverage under the Cost Accounting Standards (“CAS”) applicable to certain U.S. government procurements, further impacting our commercial operating model and requiring compliance with a defined set of business systems criteria. Growth in the value of certain contracts may increase our compliance burden, requiring us to implement new business systems to comply with such requirements. Failure to comply with applicable CAS requirements could adversely impact our ability to win future CAS-covered contracts.</w:t>
      </w:r>
    </w:p>
    <w:p>
      <w:pPr>
        <w:spacing w:after="0" w:line="85"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the Defense Federal Acquisition Regulation Supplement (“DFARS”) and the Department of Defense (“DoD”) and federal cybersecurity requirements, in connection with any defense work we perform in the future for the U.S. government and defense prime contractors. Amendments to DoD cybersecurity requirements, such as through amendments to the FAR or DFARS, may increase our costs or delay the award of contracts if we are unable to certify that we satisfy such cybersecurity requirements.</w:t>
      </w:r>
    </w:p>
    <w:p>
      <w:pPr>
        <w:spacing w:after="0" w:line="75"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become subject to the Department of Defense’s Cybersecurity Maturity Model Certification (“CMMC”) requirements in connection with contracts involving the DoD, either as a prime contractor or subcontractor. Under current DoD regulations, CMMC Level 1 certification is expected to become mandatory for applicable DoD solicitations and contracts on or before November 9, 2026, and CMMC Level 2 certification is expected to become mandatory for applicable solicitations and contracts on or before November 9, 2028.</w:t>
      </w:r>
    </w:p>
    <w:p>
      <w:pPr>
        <w:spacing w:after="0" w:line="75" w:lineRule="exact"/>
        <w:rPr>
          <w:rFonts w:ascii="Times New Roman" w:cs="Times New Roman" w:eastAsia="Times New Roman" w:hAnsi="Times New Roman"/>
          <w:sz w:val="18"/>
          <w:szCs w:val="18"/>
          <w:color w:val="auto"/>
        </w:rPr>
      </w:pPr>
    </w:p>
    <w:p>
      <w:pPr>
        <w:jc w:val="both"/>
        <w:ind w:left="9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CMMC may require us to implement and maintain specified cybersecurity controls, undergo third-party assessments where applicable, and incur additional compliance, audit, remediation, and monitoring costs. If we are unable to obtain or maintain the required CMMC certification at the applicable level within required timeframes, we may be ineligible to bid on or be awarded certain DoD contracts or subcontracts, may experience delays in contract awards, or could be subject to contractual remedies, including termination. Any such developments could adversely affect our business, financial condition, and results of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60"/>
        <w:spacing w:after="0" w:line="276" w:lineRule="auto"/>
        <w:rPr>
          <w:sz w:val="20"/>
          <w:szCs w:val="20"/>
          <w:color w:val="auto"/>
        </w:rPr>
      </w:pPr>
      <w:r>
        <w:rPr>
          <w:rFonts w:ascii="Times New Roman" w:cs="Times New Roman" w:eastAsia="Times New Roman" w:hAnsi="Times New Roman"/>
          <w:sz w:val="18"/>
          <w:szCs w:val="18"/>
          <w:color w:val="auto"/>
        </w:rPr>
        <w:t>In addition, evolving DoD cybersecurity requirements, including future amendments to FAR, DFARS, or CMMC program rules, may further increase our compliance burden and costs.</w:t>
      </w:r>
    </w:p>
    <w:p>
      <w:pPr>
        <w:spacing w:after="0" w:line="56" w:lineRule="exact"/>
        <w:rPr>
          <w:sz w:val="20"/>
          <w:szCs w:val="20"/>
          <w:color w:val="auto"/>
        </w:rPr>
      </w:pPr>
    </w:p>
    <w:p>
      <w:pPr>
        <w:jc w:val="both"/>
        <w:ind w:left="960" w:hanging="315"/>
        <w:spacing w:after="0" w:line="261"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or a defense prime contractor customer could require us to relinquish data rights to a product in connection with performing work on a defense contract, which could lead to a surrender of valuable technology and intellectual property in order to participate in a government program.</w:t>
      </w:r>
    </w:p>
    <w:p>
      <w:pPr>
        <w:spacing w:after="0" w:line="70"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cost reimbursable contracts with the U.S. government or a defense prime contractor customer that could offset our cost efficiency initiatives.</w:t>
      </w:r>
    </w:p>
    <w:p>
      <w:pPr>
        <w:spacing w:after="0" w:line="56" w:lineRule="exact"/>
        <w:rPr>
          <w:rFonts w:ascii="Times New Roman" w:cs="Times New Roman" w:eastAsia="Times New Roman" w:hAnsi="Times New Roman"/>
          <w:sz w:val="18"/>
          <w:szCs w:val="18"/>
          <w:color w:val="auto"/>
        </w:rPr>
      </w:pPr>
    </w:p>
    <w:p>
      <w:pPr>
        <w:jc w:val="both"/>
        <w:ind w:left="960" w:hanging="315"/>
        <w:spacing w:after="0" w:line="251"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various U.S. federal export-control statutes and regulations, which may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result in us being at a competitive disadvantage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financial condition, and results of operations.</w:t>
      </w:r>
    </w:p>
    <w:p>
      <w:pPr>
        <w:spacing w:after="0" w:line="82"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U.S. prime defense contractor customers as part of foreign military sales (“FMS”) programs combine several of the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w:t>
      </w:r>
    </w:p>
    <w:p>
      <w:pPr>
        <w:spacing w:after="0" w:line="75" w:lineRule="exact"/>
        <w:rPr>
          <w:rFonts w:ascii="Times New Roman" w:cs="Times New Roman" w:eastAsia="Times New Roman" w:hAnsi="Times New Roman"/>
          <w:sz w:val="18"/>
          <w:szCs w:val="18"/>
          <w:color w:val="auto"/>
        </w:rPr>
      </w:pPr>
    </w:p>
    <w:p>
      <w:pPr>
        <w:jc w:val="both"/>
        <w:ind w:left="960" w:hanging="315"/>
        <w:spacing w:after="0" w:line="249"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derive a portion of our revenue from programs with governments and government agencies that are subject to security restrictions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contracts involving classified information, classified contracts, and classified programs), which preclude the dissemination of information and technology that is classified for national security purposes under applicable law and regulations.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Therefore, our access to classified information in connection with the performance of a U.S. government contract may be limited to certain of our employees with appropriate security clearances. When accessing sensitive information, we must comply with security requirements pursuant to the National Industrial Security Program Operating Manual (“NISPOM”), administered by the Defense Counterintelligence and Security Agency (“DCSA”), and other U.S. government security protocols. Failure to comply with the NISPOM or other security requirements may subject us to civil or criminal penalties, loss of access to sensitive information, loss of a U.S. government contract, or potentially debarment as a government contractor. Further, the DCSA has transitioned its review of a contractor’s security program to focus on the protection of controlled unclassified information and assets. Failure to meet DCSA’s new, broader requirements could adversely impact the ability to obtain new business as a government contractor.</w:t>
      </w:r>
    </w:p>
    <w:p>
      <w:pPr>
        <w:spacing w:after="0" w:line="83"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invest additional capital to build out higher level security infrastructure at certain of our facilities to be awarded contracts related to defense programs with higher level security requirements. Failure to invest in such infrastructure may limit our ability to obtain new contracts with defense programs.</w:t>
      </w:r>
    </w:p>
    <w:p>
      <w:pPr>
        <w:spacing w:after="0" w:line="70"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purchase certain products that are manufactured in the United States and other relatively high-cost manufacturing locations under the Buy American Act or other regulations, and we may not manufacture or source all products in locations that meet these requirements, which may preclude our ability to sell some products or services.</w:t>
      </w:r>
    </w:p>
    <w:p>
      <w:pPr>
        <w:spacing w:after="0" w:line="8" w:lineRule="exact"/>
        <w:rPr>
          <w:rFonts w:ascii="Times New Roman" w:cs="Times New Roman" w:eastAsia="Times New Roman" w:hAnsi="Times New Roman"/>
          <w:sz w:val="18"/>
          <w:szCs w:val="18"/>
          <w:color w:val="auto"/>
        </w:rPr>
      </w:pPr>
    </w:p>
    <w:p>
      <w:pPr>
        <w:jc w:val="both"/>
        <w:ind w:left="960" w:hanging="315"/>
        <w:spacing w:after="0" w:line="236" w:lineRule="auto"/>
        <w:tabs>
          <w:tab w:leader="none" w:pos="928"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 order to obtain D&amp;I contracts with agencies and departments of the U.S. government, we may also have to make changes to our management and corporate governance structure to comply with applicable regulations. See “The anticipated benefits of the Domestication are subject to numerous risks and uncertainties, and may not materialize” above for additional information.</w:t>
      </w:r>
    </w:p>
    <w:p>
      <w:pPr>
        <w:spacing w:after="0" w:line="19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If we were to become a contractor to agencies and departments of the U.S. government, it would likely result in us being subject to routine investigations and reviews relating to compliance with various laws and regulations, including those associated with organizational conflicts of interest, procurement integrity, bid integrity and claim presentation, among others. These investigations and reviews may be conducted without our knowledge. Adverse findings in these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such allegations are unfounded. If our reputation or relationship were impaired due to these investigations, or if we could not obtain contracts with the U.S. government and the U.S. government otherwise ceased doing business with us or significantly decreased the amount of business it does with us, our revenues and ability to attract new business could be adversely affected.</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addition, spending authorizations for defense-related and other programs by the U.S. government have historically fluctuated, and future levels of expenditures and authorizations for these programs may decrease, remain constant or shift to programs in areas where we do not expect to provide services. Any contract we may enter into with the U.S. government and its agencies will generally be conditioned upon the continuing availability of Congressional appropriations. Congress usually appropriates funds on a fiscal year basis, even though contract performance may extend over many years. In recent years, there has been a pattern of delays in the finalization and approval of the U.S. government budget, which can create uncertainty over the extent of future U.S. government demand for our services.</w:t>
      </w:r>
    </w:p>
    <w:p>
      <w:pPr>
        <w:spacing w:after="0" w:line="2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requirements of the National Industrial Security Program could jeopardize our ability to provide our products and services to the U.S. government.</w:t>
      </w:r>
    </w:p>
    <w:p>
      <w:pPr>
        <w:spacing w:after="0" w:line="5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 large part of our growth strategy includes seeking U.S. governmental agency customers, particularly in D&amp;I. Obtaining contracts with certain U.S. governmental agencies may require us to maintain national security clearance and mitigation elements under the National Industry Security Program. Obtaining and maintaining national security clearances involves a lengthy process. Going forward, we will require a facility clearance to meet the requirements of D&amp;I EO solicitations.</w:t>
      </w:r>
    </w:p>
    <w:p>
      <w:pPr>
        <w:spacing w:after="0" w:line="2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with governmental entities is subject to the policies, priorities, regulations, mandates, and funding levels of such governmental entities and may be negatively impacted by any change thereto.</w:t>
      </w:r>
    </w:p>
    <w:p>
      <w:pPr>
        <w:spacing w:after="0" w:line="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have entered into contracts with governments and governmental agencies to provide our products and services. This subjects our business to laws and regulations applicable to companies doing business with the applicable government. These government contracts customarily contain provisions that give the applicable government substantial rights and remedies, many of which are unfavorable to counterparty contractors and are not typically found in commercial contracts. For instance, most government agencies include provisions that allow the government to unilaterally terminate or modify contracts for convenience, and in such event, the counterparty to the contract may generally recover only our incurred or committed costs and settlement expenses and profit on work completed prior to the termination. Further, typically where the government terminates a contract for default, the defaulting party may be liable for any extra costs incurred by the government in procuring undelivered items from another source.</w:t>
      </w:r>
    </w:p>
    <w:p>
      <w:pPr>
        <w:spacing w:after="0" w:line="18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Government contracts often also contain provisions and are subject to laws and regulations that provide government customers with additional rights and remedies not typically found in commercial contracts. These rights and remedies often allow government customers, among other things, to:</w:t>
      </w:r>
    </w:p>
    <w:p>
      <w:pPr>
        <w:spacing w:after="0" w:line="56" w:lineRule="exact"/>
        <w:rPr>
          <w:sz w:val="20"/>
          <w:szCs w:val="20"/>
          <w:color w:val="auto"/>
        </w:rPr>
      </w:pPr>
    </w:p>
    <w:p>
      <w:pPr>
        <w:ind w:left="960" w:hanging="31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for convenience with short notice;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orders under or otherwise unilaterally modify contracts;</w:t>
      </w:r>
    </w:p>
    <w:p>
      <w:pPr>
        <w:spacing w:after="0" w:line="112" w:lineRule="exact"/>
        <w:rPr>
          <w:rFonts w:ascii="Times New Roman" w:cs="Times New Roman" w:eastAsia="Times New Roman" w:hAnsi="Times New Roman"/>
          <w:sz w:val="18"/>
          <w:szCs w:val="18"/>
          <w:color w:val="auto"/>
        </w:rPr>
      </w:pPr>
    </w:p>
    <w:p>
      <w:pPr>
        <w:ind w:left="960" w:right="20" w:hanging="315"/>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contracts subject to the Truthful Cost or Pricing Data Act, reduce the contract price or cost where it was increased because we or a subcontractor furnished cost or pricing data during negotiations that was not complete, accurate, and current;</w:t>
      </w:r>
    </w:p>
    <w:p>
      <w:pPr>
        <w:spacing w:after="0" w:line="56"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contracts, (i) demand a refund, make a forward price adjustment, or terminate a contract for default if we provided inaccurate or incomplete data during the contract negotiation process and (ii) reduce the contract price under triggering circumstances, including the revision of price lists or other documents upon which the contract award was predicated;</w:t>
      </w:r>
    </w:p>
    <w:p>
      <w:pPr>
        <w:spacing w:after="0" w:line="7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960" w:hanging="315"/>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70"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due to a finding of organizational conflicts of interest based upon prior related work performed for the agency that would give us an unfair advantage over competing contractors, or the existence of conflicting roles that might bias our judgment;</w:t>
      </w:r>
    </w:p>
    <w:p>
      <w:pPr>
        <w:spacing w:after="0" w:line="70"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7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business with the applicable government; and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our services.</w:t>
      </w:r>
    </w:p>
    <w:p>
      <w:pPr>
        <w:spacing w:after="0" w:line="219"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8"/>
          <w:szCs w:val="18"/>
          <w:color w:val="auto"/>
        </w:rPr>
        <w:t>In addition, government contracts normally contain additional requirements that may increase our costs of doing business, reduce our gross margins, and expose us to liability for failure to comply with these terms and conditions. These requirements include, for example:</w:t>
      </w:r>
    </w:p>
    <w:p>
      <w:pPr>
        <w:spacing w:after="0" w:line="56" w:lineRule="exact"/>
        <w:rPr>
          <w:sz w:val="20"/>
          <w:szCs w:val="20"/>
          <w:color w:val="auto"/>
        </w:rPr>
      </w:pPr>
    </w:p>
    <w:p>
      <w:pPr>
        <w:jc w:val="both"/>
        <w:ind w:left="960" w:hanging="315"/>
        <w:spacing w:after="0" w:line="261"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retainage or contract insurance guarantee requirements under which we are obligated to provide a deposit equal to a percentage of the relevant contract value, which deposit is retained by the customer to cover any loss incurred due to our failure to perform and returned only upon satisfactory completion of the contract;</w:t>
      </w:r>
    </w:p>
    <w:p>
      <w:pPr>
        <w:spacing w:after="0" w:line="7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disclosure and accounting requirements unique to government contracts;</w:t>
      </w:r>
    </w:p>
    <w:p>
      <w:pPr>
        <w:spacing w:after="0" w:line="112"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70" w:lineRule="exact"/>
        <w:rPr>
          <w:rFonts w:ascii="Times New Roman" w:cs="Times New Roman" w:eastAsia="Times New Roman" w:hAnsi="Times New Roman"/>
          <w:sz w:val="18"/>
          <w:szCs w:val="18"/>
          <w:color w:val="auto"/>
        </w:rPr>
      </w:pPr>
    </w:p>
    <w:p>
      <w:pPr>
        <w:ind w:left="960" w:right="20" w:hanging="315"/>
        <w:spacing w:after="0" w:line="276"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contract and company information that may harm our competitive position or we would otherwise prefer not to disclose;</w:t>
      </w:r>
    </w:p>
    <w:p>
      <w:pPr>
        <w:spacing w:after="0" w:line="56"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requirements, non-discrimination and affirmative action programs and environmental compliance requirements; and</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procure certain materials, components and parts from supply sources approved by the customer.</w:t>
      </w:r>
    </w:p>
    <w:p>
      <w:pPr>
        <w:spacing w:after="0" w:line="21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Government contracts are also generally subject to greater scrutiny by the government, which can initiate reviews, audits and investigations regarding our compliance with government contract requirements. New regulations or procurement requirements (including, for example, regulations regarding counterfeit and corrupt parts, supply chain diligence and cybersecurity) or changes to current requirements could increase our costs and risk of non-compliance. In addition, if we fail to comply with government contracting laws, regulations and contract requirements, our contracts may be subject to termination, and we may be subject to financial and/or other liability under such contract and applicable law.</w:t>
      </w:r>
    </w:p>
    <w:p>
      <w:pPr>
        <w:spacing w:after="0" w:line="18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Further, changes in governmental policies, priorities, regulations, requirements applicable to commercial data and imagery providers, mandates or funding levels, the imposition of budgetary constraints or a decline in government support or deferment of funding for programs in which we or our customers participate could result in contract terminations, delays in contract awards, reduction in contract scope, performance penalties or breaches of our contracts, the failure to exercise contract options, the cancellation of planned procurements and fewer new business opportunities, all of which could materially and adversely impact our business, financial condition, and results of operations.</w:t>
      </w:r>
    </w:p>
    <w:p>
      <w:pPr>
        <w:spacing w:after="0" w:line="2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(such as the NewSpace sector), and we cannot reasonably predict the impact from, or the ultimate cost of compliance with, current or future regulatory or administrative changes. We monitor these developments and devote a significant amount of management’s time and internal and external resources towards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in our obtaining or the denial, suspension or revocation of licenses, certificates, authorizations or permits necessary to operate our business.</w:t>
      </w:r>
    </w:p>
    <w:p>
      <w:pPr>
        <w:spacing w:after="0" w:line="18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U.S. and foreign governments may revise existing contract or procurement rules and regulations, or adopt new contract or procurement rules and regulations, at any time and may also implement restrictions or apply pressure regarding the type and amount of services the government or its contractors (including us) may obtain from private contractors. Such changes could impair our ability to obtain new contracts or renew contracts under which we currently perform when those contracts are eligible for re-competition. Any new contracting methods could be costly or administratively difficult for us to implement, which could adversely affect our business, results of operations and financial condition.</w:t>
      </w:r>
    </w:p>
    <w:p>
      <w:pPr>
        <w:spacing w:after="0" w:line="18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Additionally, regulation of our industry is still evolving, and new or different laws or regulations could affect our operations, increase our direct compliance costs or cause our third-party suppliers or contractors to raise prices for us because of increased compliance costs. For example, the Federal Communications Commission has an open notice of proposed rulemaking relating to mitigation of orbital debris, which could affect us and our operations. The adoption of a multi-layered regulatory approach to any one of the laws or requirements to which we are or may become subject, particularly where the layers are in conflict, could require alteration of our manufacturing processes or operational parameters, which may adversely impact our business. Further, due to the evolving nature of these requirements, we may not be in compliance with all such requirements at all times and, even when we believe we are in compliance, a regulatory agency may determine that we are not.</w:t>
      </w:r>
    </w:p>
    <w:p>
      <w:pPr>
        <w:spacing w:after="0" w:line="189"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Any changes in applicable laws or regulations could adversely affect our business and financial condition. Any material failure to comply with applicable laws or regulations could result in contract termination, price or fee reductions or suspension or debarment from contracting.</w:t>
      </w:r>
    </w:p>
    <w:p>
      <w:pPr>
        <w:spacing w:after="0" w:line="2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orbital slot and spectrum access requirements of the International Telecommunication Union (“ITU”) and the regulatory and licensing requirements of each of the countries in which we provide services, operate facilities, or license terminals, and our business is sensitive to regulatory changes in those countries and elsewhere.</w:t>
      </w:r>
    </w:p>
    <w:p>
      <w:pPr>
        <w:spacing w:after="0" w:line="6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telecommunications industry is highly regulated, and we depend on access to orbital slots and spectrum resources to provide satellite services. The ITU and U.S. and other nations’ regulators allocate spectrum for satellite services, and may change these allocations, which could change or limit how our current satellites are able to be used. In addition, we are required to maintain regulatory approvals, and from time to time obtain new regulatory approvals, from various countries in connection with providing satellite capacity, ground network uplinks, downlinks and other value-added or managed services to our customers. Obtaining and maintaining these approvals can involve significant time and expense. If we cannot obtain, or are delayed in obtaining, the required regulatory approvals, we may not be able to provide these services to our customers, operate facilities and terminals, or expand into new products or services. In addition, the laws and regulations to which we are subject could change at any time, thus making it more difficult for us to obtain new regulatory approvals or causing our existing approvals to be revoked or adversely modified. Because regulatory schemes vary by country, we may also be subject to regulations of which we are not presently aware, and which could subject us to sanctions by a government that could materially and adversely affect our operations in that country. If we cannot comply with the laws and regulations that apply to us, we could lose our revenue from services provided to the countries and territories covered by these laws and regulations and be subject to criminal or civil sanctions.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regulatory and customer focus on data privacy issues and expanding laws may impact our business or expose us to increased liability.</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collect and process customer data, which may include personal data. Due to the sensitivity of the information and data we expect to manage in the future, as well as the nature of our customer base, the security features of our information systems are critical. We have pursued and obtained our Data Privacy Framework certification to assure our compliance with the principles governing data transfers. A variety of U.S. federal, state and foreign laws and regulations govern the collection, use, retention, sharing and security of this information. Laws and regulations relating to privacy, data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w:t>
      </w:r>
    </w:p>
    <w:p>
      <w:pPr>
        <w:spacing w:after="0" w:line="17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18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also subject to additional privacy laws and regulations, many of which, such as the European Union’s General Data Protection Regulation (“GDPR”) and national laws supplementing the GDPR, as well as legislation substantially implementing the GDPR in the United Kingdom, are significantly more stringent than those currently in effect in the United States. The GDPR requires companies to meet stringent requirements regarding the handling of personal data of individuals located in the EEA and includes significant penalties for noncompliance, which for the most serious violations may result in monetary penalties of up to the higher of €20.0 million or 4% of a group’s worldwide revenues for the preceding financial year. The United Kingdom’s version of the GDPR, which it maintains along with its Data Protection Act (collectively, the “UK GDPR”), also provides for substantial penalties that, for the most serious violations, can be the greater of £17.5 million or 4% of a group’s worldwide revenues for the preceding financial year. The GDPR, the UK GDPR, and other similar regulations require companies to give specific types of notice and informed consent is required for certain actions, and the GDPR and the UK GDPR each impose additional conditions in order to satisfy such consent, such as bundled consents.</w:t>
      </w:r>
    </w:p>
    <w:p>
      <w:pPr>
        <w:spacing w:after="0" w:line="18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GDPR, the UK GDPR, and other state and global laws and regulations have increased our responsibility and potential liability in relation to personal data, and we have and will continue to put in place additional processes and programs to demonstrate compliance. The EU Commission completed a thorough assessment of the adequacy of the U.S. with regard to data privacy protections that may be applied to the information of EU data subjects. Subsequent to the review, the EU Commission reached an adequacy decision that the United States ensures an adequate level of protection for personal data transferred from the EU to companies participating in the EU-US Data Privacy Framework. Satellogic chose to document and submit for certification under the EU-US Data Privacy Framework and the UK extension to the Data Privacy Framework, both of which we obtained in October 2023.</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New privacy laws and regulations are under development at the U.S. federal and state level and in many international jurisdictions. Any actual or perceived failure to comply with the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8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store customer information and content and if our customers fail to comply with their contractual obligations or applicable laws, it could result in litigation or reputational harm to us. The GDPR, UK GDPR, and other laws, regulations, standards and self-regulatory codes may affect our ability to reach current and prospective customers, understand how our offerings and services are being used, respond to customer requests allowed under the laws, and implement our new business models effectively. These new laws and regulations would similarly affect our competitors and our customers. These requirements could impact demand for our offerings and services and result in more onerous contract obligations and impose other costs that have increased and are likely to further increase over time.</w:t>
      </w:r>
    </w:p>
    <w:p>
      <w:pPr>
        <w:spacing w:after="0" w:line="2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and anti-bribery laws in various countries, including but not limited to the U.S. Foreign Corrupt Practices Act. We can be subject to criminal and civil liability and other serious consequences for violations of such laws, which can harm our business.</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subject to applicable anti-corruption and anti-bribery laws in the countries in which we do or will conduct our business, including but not limited to the U.S. Foreign Corrupt Practices Act of 1977, as amended (“FCPA”), and other, similar laws. We can, in certain circumstances, be held liable for violations of such laws committed by our employees, agents, contractors and others acting on our behalf, even if we do not explicitly authorize or have actual knowledge of such activities. We can also, in certain circumstances, be held liable for prior violations of such laws committed by us. Any violations of these laws and regulations may result in substantial civil, criminal and administrative fines and penalties,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remedial measures and legal expenses, and other collateral consequences, all of which could adversely affect our business, results of operations, financial condition, and reputation.</w:t>
      </w:r>
    </w:p>
    <w:p>
      <w:pPr>
        <w:spacing w:after="0" w:line="16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Although we maintain anti-corruption policies and procedures designed to address the risk of bribery, corruption and related misconduct, certain of our activities and operations present risk from an anti-corruption perspective. We have an extensive geographic scope of operations (current and projected) and are active or pursuing business in countries that can present heightened anti-corruption compliance risks. Our target customer base also includes governments and government instrumentalities, and contracting with such entities can increase a company’s compliance risk exposure since, among other things, the representatives of such entities are typically considered to be “foreign officials” under the FCPA and may be similarly characterized under other relevant anti-corruption laws. In certain countries, we also work with third parties, such as business development agents, distributors, and resellers, including to interact with public officials on our behalf. As our operations and sales activities continue to expand, our policies and procedures will similarly have to expand to adequately address the risks presented by our activities, and we may fail to adequately expand our policies and procedures to address these increased risks, which could adversely affect our business, results of operations, financial condition and reputation.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Data Privacy and Information Security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rights. Disclosure of trade secrets could cause harm to our business.</w:t>
      </w:r>
    </w:p>
    <w:p>
      <w:pPr>
        <w:spacing w:after="0" w:line="11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To protect our proprietary rights, we rely on a combination of patents, trademarks and trade secret laws, and confidentiality agreements and license agreements with consultants, vendors and customers. Our efforts to protect our intellectual property and proprietary rights may not be sufficient. Although we apply rigorous standards, documents and processes to protect our intellectual property, there is no absolute assurance that the steps taken to protect our technology will prevent misappropriation or infringement. Our ability to enforce and protect our intellectual property rights may be limited in certain jurisdictions,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8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attempt to protect our trade secrets and other proprietary information by entering into confidentiality, licensing and invention assignment agreements or other contracts with similar provisions with third parties and our employees and consultants. However, these agreements can be breached and, if they are, there may not be an adequate remedy available to us. In addition, others may independently discover, or reverse engineer our trade secrets and proprietary information, and, in such cases, we could not assert any intellectual property rights against such parties. Litigation may be necessary to enforce or protect our intellectual property rights or our trade secrets, or to determine the validity and scope of the proprietary rights of others. Litigating a claim that a party illegally or unlawfully obtained and uses our trade secrets without authorization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89"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We also try to protect our intellectual property by filing patent applications related to our technology, inventions and improvements that are important to the development of our business. The steps we take to protect our intellectual property may be inadequate. We currently have 45 issued patents, 2 issued utility models and 40 patent applications pending in 11 jurisdictions. Our pending patent applications may not result in patents being issued, which may have a material adverse effect on our ability to prevent others from commercially exploiting products similar to ours. We cannot be certain that we are the first inventor of the subject matter to which we have filed a particular patent application, or if we are the first party to file such a patent application. If another party has filed a patent application concerning the same subject matter as we have, we may not be entitled to the protection sought by the patent application. We also cannot be certain whether the claims included in a patent application will ultimately be allowed in the applicable issued patent. As a result, we cannot be certain that the patent applications that we file will be granted. Further, the scope of protection of issued patent claims is often difficult to determine.</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Patents, if issued, may be challenged, invalidated or circumvented. If our patents are invalidated or found to be unenforceable, we will lose the ability to exclude others from making, using or selling the inventions claimed. Moreover,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issued patent does not guarantee us the right to use the patented technology or commercialize a product using that technology. Third parties may have blocking patents that could be used to prevent us from developing our product either on our anticipated timeline or at all. Thus, patents that we may own in the future may not allow us to exploit the rights conferred by our intellectual property protection. Even if issued, patents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 certain countries may not adequately protect proprietary rights, and mechanisms for enforcement of intellectual property rights in such countries may be inadequate. Our competitors may also design around our issued patents, which may adversely affect our business, prospects, financial condition and operating results.</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the Secured Convertible Notes are secured by substantially all of our assets, including our intellectual property. Following an event of default on our obligations under the Secured Convertible Notes, the holder could foreclose on its security interests and liquidate or take possession of substantially all of our assets, including our intellectual property, which could materially adversely impact our business and results of operations.</w:t>
      </w:r>
    </w:p>
    <w:p>
      <w:pPr>
        <w:spacing w:after="0" w:line="27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technology may violate the proprietary rights of third parties and our intellectual property may be misappropriated or infringed upon by third parties, each of which could have a negative impact on our operations.</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If any of our technology violates the intellectual property rights of any third party, including copyrights and patents, such third party may assert infringement claims against us. Certain software and other intellectual property used by us or in our satellites, systems and products make use of or incorporate licensed software components or other licensed technology. Any claims brought against us may result in limitations on our ability to use the intellectual property subject to these claims. We may be required to redesign our satellites, systems or products or to obtain licenses from third parties to continue offering our satellites, systems or products to avoid substantially re-engineering such satellites, systems or products.</w:t>
      </w:r>
    </w:p>
    <w:p>
      <w:pPr>
        <w:spacing w:after="0" w:line="1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Our intellectual property rights may be invalidated, circumvented, challenged, infringed or required to be licensed to others. An infringement or misappropriation claim, whether or not unfounded, could harm any competitive advantage we currently derive or may derive from our proprietary rights.</w:t>
      </w:r>
    </w:p>
    <w:p>
      <w:pPr>
        <w:spacing w:after="0" w:line="26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Data breaches or incidents involving our technology or products could damage our business, reputation and brand and substantially harm our business and results of operations.</w:t>
      </w:r>
    </w:p>
    <w:p>
      <w:pPr>
        <w:spacing w:after="0" w:line="187" w:lineRule="exact"/>
        <w:rPr>
          <w:sz w:val="20"/>
          <w:szCs w:val="20"/>
          <w:color w:val="auto"/>
        </w:rPr>
      </w:pPr>
    </w:p>
    <w:p>
      <w:pPr>
        <w:jc w:val="both"/>
        <w:ind w:firstLine="479"/>
        <w:spacing w:after="0" w:line="248" w:lineRule="auto"/>
        <w:rPr>
          <w:sz w:val="20"/>
          <w:szCs w:val="20"/>
          <w:color w:val="auto"/>
        </w:rPr>
      </w:pPr>
      <w:r>
        <w:rPr>
          <w:rFonts w:ascii="Times New Roman" w:cs="Times New Roman" w:eastAsia="Times New Roman" w:hAnsi="Times New Roman"/>
          <w:sz w:val="18"/>
          <w:szCs w:val="18"/>
          <w:color w:val="auto"/>
        </w:rPr>
        <w:t>If our data and network infrastructure were to fail, or if we were to suffer an interruption or degradation of services in our data center, third-party cloud, or other infrastructure environments, we could lose important manufacturing and technical data, which could harm our business. Our facilities, as well as the facilities of third parties that maintain or have access to our data or network infrastructure, are vulnerable to damage or interruption from earthquakes, hurricanes, floods, fires, cybersecurity attacks, terrorist attacks, power losses, telecommunications failures and similar events. In the event that our or any third-party provider’s systems or service abilities are hindered by any of the events discussed above, our ability to operate may be impaired and our business could be adversely affected.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 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customers. To date, we have not experienced a cybersecurity incident that has resulted in any material impact on our business strategy, results of operations, financial condition or on our ability to run our business. However, any such cybersecurity incident, including if we are unable to effectively resolve breaches in a timely manner, could result in damage to the market perception of the effectiveness of our security and privacy measures, result in negative publicity arising from these types of disruptions damage our reputation, and could have a material adverse effect on our business, operations and financial results. Furthermore, a security event that involves classified or other sensitive government information or certain controlled technical information, could subject us to civil or criminal penalties and could result in loss of government security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clearances and other accreditations, loss of our government contracts, loss of access to classified information, loss of export privileges or debarment as a government contractor. The risk that these types of events could seriously harm our business is likely to increase as we expand the number of services we offer as well as increase the number of customers and the countries within which we do business.</w:t>
      </w:r>
    </w:p>
    <w:p>
      <w:pPr>
        <w:spacing w:after="0" w:line="17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have implemented multiple layers of security measures designed to protect the confidentiality, integrity, availability and privacy of our data and the systems and devices that store and transmit such data. We utilize current security technologies, and our defenses are monitored and routinely tested internally. Despite these efforts, threats from malicious persons and groups, new vulnerabilities and new, advanced attacks against information systems create the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disable or degrade service, or sabotage systems change frequently and may not immediately produce signs of intrusion, we may be unable to anticipate these incidents or techniques, timely discover them, or implement adequate preventative measures.</w:t>
      </w:r>
    </w:p>
    <w:p>
      <w:pPr>
        <w:spacing w:after="0" w:line="18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Cyber attacks have become more sophisticated and much harder to detect and defend against, including as a result of evolving artificial intelligence capabilities, which can directly attack information systems with greater speed and/or efficiency than a human threat actor or create more effective phishing emails. Our network and storage applications may be vulnerable to cyber attack, malicious intrusion, malfeasance, attacks by foreign governments and state-sponsored actors, loss of data privacy or other significant disruption and may be subject to unauthorized access by hackers, employees, consultants or other service providers.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our employees, contractors and temporary staff. As cyber threats continue to evolve, including those involving artificial intelligence capabilities, we may be required to expend significant additional resources to continue to modify or enhance our protective measures or to investigate and remediate any cybersecurity vulnerabilities. We expect to continue to maintain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9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Additionally, as a result of the intensification of cybersecurity attacks during periods of geopolitical conflict, the volume and sophistication of attempted cybersecurity attacks has increased throughout the world. We believe these conflicts create a heightened risk of cyber attacks on our infrastructure, systems and operations and other providers of geospatial intelligence. The risk of cyber attack on us may be higher than that on our competitors due to our commitment to providing satellite imagery only to those organizations that will use our imagery for peaceful purposes as stated in our Terms of Use and as we have publicly stated.</w:t>
      </w:r>
    </w:p>
    <w:p>
      <w:pPr>
        <w:spacing w:after="0" w:line="18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Recurrent or prolonged unavailability of our services due to attacks could cause users to cease using our services and materially adversely affect our business, prospects, financial condition, and results of operations. We use software which we have developed,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our business plan, which could materially adversely affect our results of operations. Our disaster recovery plan or those of our third-party providers may be inadequate.</w:t>
      </w:r>
    </w:p>
    <w:p>
      <w:pPr>
        <w:spacing w:after="0" w:line="2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technologies contain “open source” software, and any failure to comply with the terms of one or more of these open-source licenses could negatively affect our business.</w:t>
      </w:r>
    </w:p>
    <w:p>
      <w:pPr>
        <w:spacing w:after="0" w:line="5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We utilize open-source software licensed from third parties on a limited basis. We primarily use this software in limited cases such as in connection with satellite testing. Some of these licenses contain requirements that we make available source code for modifications or derivative works we create based upon the open-source software, and that we license these modifications or derivative works under the terms of a particular open-source license or other license granting third-parties certain rights of further use. In addition to risks related to license requirements, use of open-source software can lead to greater risks than use of third-party commercial software, as open-source licensors generally do not provide updates, warranties, support, indemnities, assurances of title, or controls on origin of the software. Likewise, some open-source projects have known security and other vulnerabilities and architectural instabilities, or are otherwise subject to security attacks due to their wide availability, and are provided on an “as-is” basis. If we were found to have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inappropriately used open-source software, we may be required to take certain remedial actions that may divert resources away from our development efforts, any of which could adversely affect our business, financial condition, results of operations, and growth prospects. In addition, if the open-source software we use is no longer maintained by the relevant developer or open-source community, then it may be more difficult to make the necessary revisions to our software, including modifications to address security vulnerabilities, which could impact our ability to mitigate cybersecurity risks or fulfill our contractual obligations to our customers. We may also face claims from others seeking to enforce the terms of an open-source license, including by demanding release under certain open-source licenses of the open-source software, derivative works or our proprietary source code that was developed using such software. Such claims, with or without merit, could result in litigation, could be time-consuming and expensive to settle or litigate, could divert our management’s attention and other resources, could require us to lease some of our proprietary code, or could require us to devote additional R&amp;D resources to modify our technologies, any of which could adversely affect our business.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3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rely on the significant and specialized expertise of our senior management, engineering, sales and operational staff and must retain and attract qualified and highly skilled personnel in order to grow our business successfully. If we are unable to build, expand, and deploy additional management, engineering, sales and operational staff in a timely manner, or if we are unable to hire, retain, train, and motivate such personnel, our growth and long-term success could be adversely impacted.</w:t>
      </w:r>
    </w:p>
    <w:p>
      <w:pPr>
        <w:spacing w:after="0" w:line="17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services and performance of our senior management and our highly qualified team of engineers and data scientists, many of whom have numerous years of experience and specialized expertise in our business and industry. Competition for hiring these employees is intense, especially regarding engineers and data scientists with specialized skills required for our business, and we may be unable to hire and retain enough engineers and data scientists to implement our growth strategy. Maintaining a positive, diverse, and inclusive culture and work environment, offering attractive compensation, benefits and development opportunities, and effectively implementing processes and technology that enable our employees to work effectively are important to our ability to attract and retain employees. If we are not successful in hiring and retaining highly qualified engineers, data scientists and other skilled personnel, we may not be able to extend or maintain our engineering and data science expertise, and our future product development efforts could be adversely affected.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future success also depends on the successful execution of our strategy to increase sales to customers, identify and engage new customers, and penetrate the U.S. market and new non-U.S. markets, which will depend on, among other things, our ability to build and expand our sales organization and operations. Identifying, recruiting, training, and managing qualified sales personnel requires significant time, expense, and attention, including from our senior management and other key personnel, which could adversely impact our business, financial condition, and results of operations.</w:t>
      </w:r>
    </w:p>
    <w:p>
      <w:pPr>
        <w:spacing w:after="0" w:line="182"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In addition, our failure to implement adequate succession plans for key executives or the failure of key employees to successfully transition into new roles, for example, as a result of organizational changes and attrition, could have an adverse effect on our businesses and operating results. The unexpected or abrupt departure of one or more of our key personnel and the failure to effect smooth key personnel transitions may have an adverse effect on our businesses resulting from the loss of such personnel’s skills, knowledge of our businesses, and years of industry experience. If we cannot effectively manage leadership transitions and management changes in the future, our reputation and future business prospects could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employment, class action, whistleblower and other litigation and claims, and governmental and other regulatory investigations and proceedings.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give any assurance that the results of any of these actions will not have a material adverse effect on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Continuing inflation and/or elevated interest rates for prolonged periods could have an adverse effect on our business, financial condition, and results of operations.</w:t>
      </w:r>
    </w:p>
    <w:p>
      <w:pPr>
        <w:spacing w:after="0" w:line="5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Economic factors, such as continuing inflation and elevated interest rates for prolonged periods in the jurisdictions in which we operate or source materials, could have a negative impact on our business. If our costs were to become subject to significant inflationary pressures, we may not be able to fully offset such higher costs through price increases. Our inability or failure to do so could have a material adverse effect on our business, financial condition, results of operations and cash flows.</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the Secured Convertible Notes bear interest at a variable rate. Any future indebtedness we may incur in the future may also bear interest at variable rates. Accordingly, if interest rates increase, so could our interest costs, which may have an adverse effect on our business, results of operations and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3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certain of our stockholders and limiting our other stockholders’ ability to influence corporate matters and could discourage others from pursuing any change of control transactions that holders of Class A common stock may view as beneficial.</w:t>
      </w:r>
    </w:p>
    <w:p>
      <w:pPr>
        <w:spacing w:after="0" w:line="202"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The Class B common stock has a number of votes per share to equal the number of votes controlled by the Liberty Investor, while Class A common stock have one (1) vote per share. Our founder and Chief Executive Officer, Emiliano Kargieman, owns 10,582,641 shares of Class B common stock, which are entitled to 1.472467906 votes per share, granting him 100% of the voting power of the Class B common stock and [10.4%] of the voting power of our common stock as of March 14, 2026. This concentrated control may have the effect of delaying, preventing or deterring a change in control of the Company, could deprive our stockholders of an opportunity to receive a premium for their capital stock as part of a sale of the Company, and might ultimately affect the market price of our Class A common stock. In addition, on March 8, 2023, pursuant to the Liberty Letter Agreement, and following the forfeiture of a certain number of shares of Class B common stock in connection with the Forfeiture Event under the Merger Agreement as described below, we approved an amendment to our governing documents in effect as of such date, pursuant to which the number of votes per share of Class B Ordinary Share was increased from 1.463844005 to 1.472467906 in order to make the aggregate number of votes attributable to holders of Class B common stock equal to the aggregate number of votes attributable to the Liberty Shares. This amendment had the impact of reinforcing the voting power and control of Mr. Kargieman, and may result in the continuation of the aforementioned risks to stockholders.</w:t>
      </w:r>
    </w:p>
    <w:p>
      <w:pPr>
        <w:spacing w:after="0" w:line="222"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We cannot predict whether the dual class structure of our common stock will result in a lower or more volatile market price of our Class A common stock or in adverse publicity or other adverse consequences. For example, certain index providers, such as FTSE Russell, have announced restrictions on including companies with multiple class share structures in certain of their indexes. 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our Class A common stock.</w:t>
      </w:r>
    </w:p>
    <w:p>
      <w:pPr>
        <w:spacing w:after="0" w:line="209"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7"/>
          <w:szCs w:val="17"/>
          <w:color w:val="auto"/>
        </w:rPr>
        <w:t xml:space="preserve">In addition, our Secured Convertible Notes are convertible in Class A common stock at a rate of 833.33 shares of </w:t>
      </w:r>
      <w:r>
        <w:rPr>
          <w:rFonts w:ascii="Times New Roman" w:cs="Times New Roman" w:eastAsia="Times New Roman" w:hAnsi="Times New Roman"/>
          <w:sz w:val="14"/>
          <w:szCs w:val="14"/>
          <w:color w:val="auto"/>
        </w:rPr>
        <w:t>Class</w:t>
      </w:r>
      <w:r>
        <w:rPr>
          <w:rFonts w:ascii="Times New Roman" w:cs="Times New Roman" w:eastAsia="Times New Roman" w:hAnsi="Times New Roman"/>
          <w:sz w:val="17"/>
          <w:szCs w:val="17"/>
          <w:color w:val="auto"/>
        </w:rPr>
        <w:t xml:space="preserve"> A common stock per $1,000 principal amount of Secured Convertible Notes, subject to certain customary anti-dilution provisions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As of December 31, 2025, the conversion of the Secured Convertible Notes would result in the holder holding approximately 16.7% of our outstanding Class A common stock and 14.9% of the voting power of our common stock. Along with the significant voting power held by Mr. Kargieman, this would result in a significant concentration in the voting power of our common stock, meaning that other stockholders may have little influence in determining the outcome of corporate actions requiring stockholder approval, and which could have the effect of delaying, preventing or deterring a change in control of the Company, could deprive our stockholders of an opportunity to receive a premium for their capital stock as part of a sale of the Company, and might ultimately affect the market price of our Class A common stock.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3"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common stock in the foreseeable future. In addition, our ability to pay dividends is prohibited by the terms of our Secured Convertible Notes. Consequently, investors may need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rely on sales of their shares after price appreciation, which may never occur, as the only way to realize any future gains on their investment.</w:t>
      </w:r>
    </w:p>
    <w:p>
      <w:pPr>
        <w:spacing w:after="0" w:line="3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regarding our securities, the price and trading volume of our securities could decline.</w:t>
      </w:r>
    </w:p>
    <w:p>
      <w:pPr>
        <w:spacing w:after="0" w:line="5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may be influenced by the research and reports that industry or securities analysts may publish about us or our business, market, or competitors. If any of the analysts who may cover us change their recommendation regarding our common stock adversely, or provide more favorable relative recommendations about our competitors, the price of our common stock would likely decline. If any analyst who may cover us were to cease such coverage or fail to regularly publish reports on us, we could lose visibility in the financial markets, which in turn could cause our share price or trading volume to decline.</w:t>
      </w:r>
    </w:p>
    <w:p>
      <w:pPr>
        <w:spacing w:after="0" w:line="2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Following a forfeiture event under the Merger Agreement, certain holders of our Class A common stock may be issued additional Class A common stock if the trading price of the Class A common stock then meets certain earn-out thresholds. Such issuance would dilute existing holders.</w:t>
      </w:r>
    </w:p>
    <w:p>
      <w:pPr>
        <w:spacing w:after="0" w:line="5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certain of our stockholders forfeited for cancellation an aggregate of 310,127 shares of Class A common stock on May 12, 2022, and an equal number of Class A common stock were issued to certain other of our stockholders (the “Forfeiture Event”). However, pursuant to the Merger Agreement, following the Forfeiture Event, if at any time during the five year period following the Closing Date, the closing price of the Class A common stock is at or above $15.00 for ten (10) trading days (which need not be consecutive) over a twenty (20) trading day period, the stockholders who had forfeited shares in the Forfeiture Event will then receive a number of newly issued shares of Class A common stock equal to the number of shares that they had previously forfeited, or 310,127 shares of Class A common stock.</w:t>
      </w:r>
    </w:p>
    <w:p>
      <w:pPr>
        <w:spacing w:after="0" w:line="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extremely volatile and may continue to be volatile due to numerous circumstances beyond our control.</w:t>
      </w:r>
    </w:p>
    <w:p>
      <w:pPr>
        <w:spacing w:after="0" w:line="187"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Fluctuations in the price of our Class A common stock could contribute to the loss of all or part of your investment. The trading price of our Class A common stock has been, and may continue to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them. In such circumstances, the trading price of our Class A common stock may not recover and may experience a further decline.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Factors affecting the trading price of our Class A common stock may include:</w:t>
      </w:r>
    </w:p>
    <w:p>
      <w:pPr>
        <w:spacing w:after="0" w:line="226" w:lineRule="exact"/>
        <w:rPr>
          <w:sz w:val="20"/>
          <w:szCs w:val="20"/>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results or the financial results of companies perceived to be similar to it;</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other third parties, including blogs, articles, message boards and social and other media;</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squeezes”;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industries in which we operate;</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and technologies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compliance requirements;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Class A common stock available for public sale;</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245" w:lineRule="exact"/>
        <w:rPr>
          <w:rFonts w:ascii="Times New Roman" w:cs="Times New Roman" w:eastAsia="Times New Roman" w:hAnsi="Times New Roman"/>
          <w:sz w:val="18"/>
          <w:szCs w:val="18"/>
          <w:color w:val="auto"/>
        </w:rPr>
      </w:pPr>
    </w:p>
    <w:p>
      <w:pPr>
        <w:ind w:left="640" w:right="360" w:hanging="314"/>
        <w:spacing w:after="0" w:line="260"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Class A common stock by our directors, executive officers or significant stockholders or the perception that such sales could occur; and</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acts of war or terrorism.</w:t>
      </w:r>
    </w:p>
    <w:p>
      <w:pPr>
        <w:spacing w:after="0" w:line="232"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Class A common stock, may not be predictable. A loss of investor confidence in the market for our Class A common stock and the stocks of other companies which investors perceive to be similar to us could depress our share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Content available in public media that is published by third parties, including blogs, posts, articles, message boards and social and other media, may include statements not attributable to us and may not be reliable or accurate.</w:t>
      </w:r>
    </w:p>
    <w:p>
      <w:pPr>
        <w:spacing w:after="0" w:line="199"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have received, and may continue to receive, media coverage that is published or otherwise disseminated by third parties, including blogs, posts, articles, message boards and social and other media. This includes coverage that is not attributable to statements made by our officers or associates. You should read carefully, evaluate and rely only on the information contained in this Report in determining whether to purchase our Class A common stock. Information or other media provided by third parties may not be reliable or accurate and could materially impact the trading price of our Class A common stock which could cause stockholders to lose their investments.</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sales of a substantial number of shares of our Class A Common Stock, or the perception that such sales could occur, could adversely affect the price for our Class A common stock.</w:t>
      </w:r>
    </w:p>
    <w:p>
      <w:pPr>
        <w:spacing w:after="0" w:line="173" w:lineRule="exact"/>
        <w:rPr>
          <w:sz w:val="20"/>
          <w:szCs w:val="20"/>
          <w:color w:val="auto"/>
        </w:rPr>
      </w:pPr>
    </w:p>
    <w:p>
      <w:pPr>
        <w:jc w:val="both"/>
        <w:ind w:right="20" w:firstLine="479"/>
        <w:spacing w:after="0" w:line="253"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in the market or the perception that these sales could occur. These sales, or the possibility of these sales, also might make it more difficult for us to sell equity securities in the future at a time and at a price that we deem appropriate.</w:t>
      </w:r>
    </w:p>
    <w:p>
      <w:pPr>
        <w:spacing w:after="0" w:line="19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have recently completed several capital raises to fund our operations and constellation expansion, which have resulted in significant dilution to existing stockholders, including:</w:t>
      </w:r>
    </w:p>
    <w:p>
      <w:pPr>
        <w:spacing w:after="0" w:line="204" w:lineRule="exact"/>
        <w:rPr>
          <w:sz w:val="20"/>
          <w:szCs w:val="20"/>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direct offering of Class A common stock that generated gross proceeds of approximately $35 million in January 2026;</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underwritten public offering of Class A common stock in October 2025 that generated gross proceeds of approximately $90 million; and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direct offering of Class A common stock in April 2025 that generated gross proceeds of approximately $20 million.</w:t>
      </w:r>
    </w:p>
    <w:p>
      <w:pPr>
        <w:spacing w:after="0" w:line="232" w:lineRule="exact"/>
        <w:rPr>
          <w:rFonts w:ascii="Times New Roman" w:cs="Times New Roman" w:eastAsia="Times New Roman" w:hAnsi="Times New Roman"/>
          <w:sz w:val="18"/>
          <w:szCs w:val="18"/>
          <w:color w:val="auto"/>
        </w:rPr>
      </w:pPr>
    </w:p>
    <w:p>
      <w:pPr>
        <w:ind w:left="640" w:hanging="314"/>
        <w:spacing w:after="0" w:line="306"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also filed registration statements with the SEC registering the resale of up to 25,000,000 shares of Class A common stock issuable upon the conversion of our Secured Convertible Notes. All of these shares currently remain unsold but represent a significant potential for future dilution.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4"/>
        <w:spacing w:after="0" w:line="260"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maintained an effective shelf registration statement for the sale of up to an aggregate of $150,000,000 of Class A common stock to allow us to conduct future offerings as capital needs arise. As of the date of this Report, this shelf registration statement has been fully utilized.</w:t>
      </w:r>
    </w:p>
    <w:p>
      <w:pPr>
        <w:spacing w:after="0" w:line="200" w:lineRule="exact"/>
        <w:rPr>
          <w:sz w:val="20"/>
          <w:szCs w:val="20"/>
          <w:color w:val="auto"/>
        </w:rPr>
      </w:pP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issuance or resale, or the expected or potential issuance or resale, of a substantial number of shares of our Class A common stock—whether through the conversion of existing debt or future opportunistic capital raises—could adversely affect the market price for our Class A common stock and make it more difficult for you to sell your shares at times and prices that you feel are appropriate.</w:t>
      </w:r>
    </w:p>
    <w:p>
      <w:pPr>
        <w:spacing w:after="0" w:line="1"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Any convertible or exchangeable securities that we issue in the future may have rights, preferences, and privileges more favorable than those of our Class A common stock and may result in dilution of owners of our Class A common stock. We and, indirectly, our stockholders, will bear the cost of issuing and servicing such securities. Upon liquidation, holders of our debt securities and preferred stock (if any),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Any preferred stock we issue in the future could have a preference on liquidating distributions or a preference on dividend payments that could limit our ability to make a dividend distribution to the holders of our Class A common stock. Because our decision to issue securities in any future offering will depend on market conditions and other factors beyond our control, we cannot predict or estimate the amount, timing, or nature of our future offerings. Thus, holders of our Class A common stock bear the risk of our future offerings reducing the market price of our Class A common stock and diluting their ownership interest in us.</w:t>
      </w:r>
    </w:p>
    <w:p>
      <w:pPr>
        <w:spacing w:after="0" w:line="2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Class A common stock or the Warrants will remain listed on Nasdaq, or that we will be able to comply with the continued listing standards of Nasdaq.</w:t>
      </w:r>
    </w:p>
    <w:p>
      <w:pPr>
        <w:spacing w:after="0" w:line="5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If Nasdaq chooses to delist us for failure to meet their listing standards, we and our stockholders could face significant material adverse consequences, including:</w:t>
      </w:r>
    </w:p>
    <w:p>
      <w:pPr>
        <w:spacing w:after="0" w:line="56" w:lineRule="exact"/>
        <w:rPr>
          <w:sz w:val="20"/>
          <w:szCs w:val="20"/>
          <w:color w:val="auto"/>
        </w:rPr>
      </w:pPr>
    </w:p>
    <w:p>
      <w:pPr>
        <w:ind w:left="960" w:hanging="315"/>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2" w:lineRule="exact"/>
        <w:rPr>
          <w:rFonts w:ascii="Times New Roman" w:cs="Times New Roman" w:eastAsia="Times New Roman" w:hAnsi="Times New Roman"/>
          <w:sz w:val="18"/>
          <w:szCs w:val="18"/>
          <w:color w:val="auto"/>
        </w:rPr>
      </w:pPr>
    </w:p>
    <w:p>
      <w:pPr>
        <w:ind w:left="960" w:hanging="315"/>
        <w:spacing w:after="0" w:line="276"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are a “penny stock,” which will require brokers trading in our Class A common stock to adhere to more stringent rules and possibly result in a reduced level of trading activity in the secondary trading market for our securities;</w:t>
      </w:r>
    </w:p>
    <w:p>
      <w:pPr>
        <w:spacing w:after="0" w:line="56"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or absence of news and analyst coverage; and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1" w:lineRule="exact"/>
        <w:rPr>
          <w:sz w:val="20"/>
          <w:szCs w:val="20"/>
          <w:color w:val="auto"/>
        </w:rPr>
      </w:pPr>
    </w:p>
    <w:p>
      <w:pPr>
        <w:jc w:val="both"/>
        <w:ind w:firstLine="47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over financial reporting could have a material adverse effect on our business, operating results and stock price.</w:t>
      </w:r>
    </w:p>
    <w:p>
      <w:pPr>
        <w:spacing w:after="0" w:line="5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previously required of us as a privately held company. Management may not be able to effectively and timely implement controls and procedures that adequately respond to the increased regulatory compliance and reporting requirements that are now applicable to us. If we are not able to implement the additional requirements of Section 404(a) of the Sarbanes-Oxley Act in a timely manner or fail to adequately comply with those requirements, we may not be able to assess whether our internal controls over financial reporting are effective, which may subject us to adverse regulatory consequences and could harm investor confidence and the market price of our Class A common stock.</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report on the effectiveness of our internal control over financial reporting pursuant to Section 404(b) of the Sarbanes-Oxley Act until we file our first Form 10-K following the date on which we cease to qualify as an “emerging growth company,” which may be up to five full fiscal years following the date of the first sale of common equity securities pursuant to an effective registration statement. If such an evaluation were performed, control deficiencies could be identified by our management, and those control deficiencies could also represent one or more material weaknesses. In addition, we cannot predict the outcome of this determination and whether we will need to implement remedial actions in order to implement effective control over financial reporting. If in subsequent years we are unable to assert that our internal control over financial reporting is effective, or if our auditors express an opinion that our internal control over financial reporting is ineffective, we may fail to meet the future reporting obligations in a timely and reliable manner and our financial statements may contain material misstatements. Any such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failure could also cause our investors to lose confidence in the accuracy and completeness of our financial reports, which could have a materially adverse effect on the price of our securities.</w:t>
      </w:r>
    </w:p>
    <w:p>
      <w:pPr>
        <w:spacing w:after="0" w:line="2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Class A common stock following the Domestication may be less attractive to investors.</w:t>
      </w:r>
    </w:p>
    <w:p>
      <w:pPr>
        <w:spacing w:after="0" w:line="6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as modified by the Jumpstart Our Business Startups Act of 2012 (“Jobs Act”) and a “smaller reporting company” as defined in Item 10(f)(1) of Regulation S-K, and we are taking advantage of some of the exemptions from reporting requirements that are available to emerging growth companies and smaller reporting companies, including not being required to comply with the auditor attestation requirements in the assessment of our internal control over financial reporting under Section 404(b) of the Sarbanes-Oxley Act.</w:t>
      </w:r>
    </w:p>
    <w:p>
      <w:pPr>
        <w:spacing w:after="0" w:line="19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7"/>
          <w:szCs w:val="17"/>
          <w:color w:val="auto"/>
        </w:rPr>
        <w:t>We may take advantage of these reporting exemptions until we are no longer an emerging growth company and/or a smaller reporting company. We will remain an emerging growth company until the earlier of (1) the last day of the fiscal year (a) following the fifth anniversary of the date of the first sale of common equity securities pursuant to an effective registration statement, (b) in which we have total annual gross revenue of at least $1.235 billion, or (c) in which we are deemed to be a large accelerated filer, which means the market value of our Class A common stock that are held by non-affiliates exceeds $700 million as of the prior June 30th, or (2) the date on which we have issued more than $1.0 billion in non-convertible debt during the prior three-year period. We will remain a smaller reporting company until the last day of any fiscal year for so long as either: (i) the market value of our common equity securities held by non-affiliates does not equal or exceed $250 million as of the prior June 30th; or (ii) our annual revenues did not equal or exceed $100 million during such completed fiscal year and our common equity securities held by non-affiliates does not equal or exceed $700 million as of the prior June 30th.</w:t>
      </w:r>
    </w:p>
    <w:p>
      <w:pPr>
        <w:spacing w:after="0" w:line="19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do and will rely on the accommodations and exemptions available to emerging growth companies and smaller reporting companies. If some investors find our Class A common stock less attractive as a result, there may be a less active trading market for our Class A common stock and our share price may be more volatile.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8"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strategy followed by our Security Incident Response Team (“SIRT”) for managing material risks from cybersecurity threats is aligned to the National Institute of Standards and Technology’s (“NIST”) Cybersecurity Framework 2.0 and its associated references in NIST SP 800-53r5.1.1 and NIST 800-61r2 Guides. The strategy was updated in the fourth quarter of 2023 to support our compliance with the SEC’s Rules on Cybersecurity Disclosure for Public Companies and has been annually reviewed in the fourth quarter since that time as part of our yearly review cycle and is included in our overall enterprise risk management program.</w:t>
      </w:r>
    </w:p>
    <w:p>
      <w:pPr>
        <w:spacing w:after="0" w:line="18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Our Incident Detection and Response (“IDR”) processes and practices include the evaluation of each identified cybersecurity threat event to determine its authenticity and potential impact or whether our systems blocked or mitigated it. Our Incident Response Standard, governed by our Incident Response Policy comprises two separate workflows, both tracked in a ticket system. The first workflow encompasses all events requiring investigation. If an event is confirmed as positive and has caused an impact, a second workflow may be triggered, engaging the Materiality Determination Committee until the incident is reported to the SEC or otherwise determined that there is no material impact.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furtherance of detecting, identifying, classifying and mitigating cybersecurity and other data security threats, we also:</w:t>
      </w:r>
    </w:p>
    <w:p>
      <w:pPr>
        <w:spacing w:after="0" w:line="250" w:lineRule="exact"/>
        <w:rPr>
          <w:sz w:val="20"/>
          <w:szCs w:val="20"/>
          <w:color w:val="auto"/>
        </w:rPr>
      </w:pPr>
    </w:p>
    <w:p>
      <w:pPr>
        <w:ind w:left="640" w:hanging="314"/>
        <w:spacing w:after="0"/>
        <w:tabs>
          <w:tab w:leader="none" w:pos="64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8"/>
          <w:szCs w:val="18"/>
          <w:color w:val="auto"/>
        </w:rPr>
        <w:t>Use multi-factor authentication and other cryptographical processes to address identity-based cybersecurity risks.</w:t>
      </w:r>
    </w:p>
    <w:p>
      <w:pPr>
        <w:spacing w:after="0" w:line="13"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8"/>
          <w:szCs w:val="18"/>
          <w:color w:val="auto"/>
        </w:rPr>
        <w:t>Use context aware access control processes.</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8"/>
          <w:szCs w:val="18"/>
          <w:color w:val="auto"/>
        </w:rPr>
        <w:t>Adopted processes to ensure security in specific remote environments.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hanging="314"/>
        <w:spacing w:after="0"/>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Have implemented anti-phishing technologies.</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Deploy anti-malware solutions and have them continuously updated.</w:t>
      </w:r>
    </w:p>
    <w:p>
      <w:pPr>
        <w:spacing w:after="0" w:line="14" w:lineRule="exact"/>
        <w:rPr>
          <w:rFonts w:ascii="Arial" w:cs="Arial" w:eastAsia="Arial" w:hAnsi="Arial"/>
          <w:sz w:val="21"/>
          <w:szCs w:val="21"/>
          <w:color w:val="auto"/>
        </w:rPr>
      </w:pPr>
    </w:p>
    <w:p>
      <w:pPr>
        <w:ind w:left="640" w:hanging="314"/>
        <w:spacing w:after="0" w:line="220"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Implemented a Security Information and Event Management (SIEM) system, where we monitor (automatically and otherwise) our networks, systems and users.</w:t>
      </w:r>
    </w:p>
    <w:p>
      <w:pPr>
        <w:ind w:left="640" w:hanging="314"/>
        <w:spacing w:after="0" w:line="238"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Perform periodic network and vulnerability scans of our external and critical internal networks and systems.</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Have an incident detection and response team, with its policies and procedures, to review all events that may be part of a security incident.</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Use processes to assess and prioritize risks related to applications and how we use them.</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Ensure the asset inventory for relevant system components is kept current and accurate;</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Maintain updated network and systems architecture documentation</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Periodically engage well-known external consultants, where appropriate, to assess, test or otherwise assist with aspects of our security controls.</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Provide mandatory training on security and compliance matters to all employees, and some more specific as roles and responsibilities require.</w:t>
      </w:r>
    </w:p>
    <w:p>
      <w:pPr>
        <w:spacing w:after="0" w:line="14" w:lineRule="exact"/>
        <w:rPr>
          <w:rFonts w:ascii="Arial" w:cs="Arial" w:eastAsia="Arial" w:hAnsi="Arial"/>
          <w:sz w:val="21"/>
          <w:szCs w:val="21"/>
          <w:color w:val="auto"/>
        </w:rPr>
      </w:pPr>
    </w:p>
    <w:p>
      <w:pPr>
        <w:ind w:left="640" w:hanging="314"/>
        <w:spacing w:after="0" w:line="227"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Have defined and periodically updated our information security policies regarding, among others, access and control, networked devices, credentials management, physical security, etc.</w:t>
      </w:r>
    </w:p>
    <w:p>
      <w:pPr>
        <w:spacing w:after="0" w:line="1" w:lineRule="exact"/>
        <w:rPr>
          <w:rFonts w:ascii="Arial" w:cs="Arial" w:eastAsia="Arial" w:hAnsi="Arial"/>
          <w:sz w:val="21"/>
          <w:szCs w:val="21"/>
          <w:color w:val="auto"/>
        </w:rPr>
      </w:pPr>
    </w:p>
    <w:p>
      <w:pPr>
        <w:ind w:left="640" w:hanging="314"/>
        <w:spacing w:after="0" w:line="238"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Implement a secure software development life cycle and a maturity model to assess it, and accompany engineering teams during the process.</w:t>
      </w:r>
    </w:p>
    <w:p>
      <w:pPr>
        <w:spacing w:after="0" w:line="14" w:lineRule="exact"/>
        <w:rPr>
          <w:rFonts w:ascii="Arial" w:cs="Arial" w:eastAsia="Arial" w:hAnsi="Arial"/>
          <w:sz w:val="21"/>
          <w:szCs w:val="21"/>
          <w:color w:val="auto"/>
        </w:rPr>
      </w:pPr>
    </w:p>
    <w:p>
      <w:pPr>
        <w:ind w:left="640" w:hanging="314"/>
        <w:spacing w:after="0" w:line="224"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Evaluate the information security risk associated with suppliers, partners, applications and services used.</w:t>
      </w:r>
    </w:p>
    <w:p>
      <w:pPr>
        <w:spacing w:after="0" w:line="18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have established a committee specifically dedicated to determining the materiality of cybersecurity incidents (the “Materiality Determination Committee”), which includes key members of our organization: the Chief Financial Officer, Chief Information Security Officer (“CISO”), and the Senior Vice President of Operations, the latter having ultimate oversight responsibility for compliance matters. Once a threat event is determined to have any impact, the committee is assembled, informed and the threat event’s material impact is determined. If materiality is confirmed, then the reporting process starts in accordance with SEC rules (including reporting no later than four days after the materiality determination).</w:t>
      </w:r>
    </w:p>
    <w:p>
      <w:pPr>
        <w:spacing w:after="0" w:line="1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External help may be engaged at any step in the process, before or after the materiality committee is invoked, depending on the complexity and reach of the incident. Though we do not have a retainer on any external third parties, we have identified a list of potential entities to engage when needed.</w:t>
      </w:r>
    </w:p>
    <w:p>
      <w:pPr>
        <w:spacing w:after="0" w:line="163"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We have not identified any cybersecurity incident that has had or may have a material impact on our business and, in particular, no unauthorized access to our information technology systems that has either occurred or is reasonably likely to have occurred, including any reports submitted to us by third parties (including regulatory agencies, law enforcement agencies and security consultants), to the extent that such unauthorized access to our information technology systems is reasonably likely to have a material effect on the (consolidated) financial statements, in each case or in the aggregate, and no ransomware attacks in which we have been asked, paid or are contemplating paying a ransom, regardless of the amount. However, 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are assumed to be vulnerable to cybersecurity attacks and other data security threats. These types of attacks are constantly evolving, may be difficult to detect quickly, and often are not recognized until after they have been launched against a target.</w:t>
      </w:r>
    </w:p>
    <w:p>
      <w:pPr>
        <w:spacing w:after="0" w:line="17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Board has ultimate oversight for risks relating to our cybersecurity strategy. In addition, the Board has delegated primary responsibility to the Audit Committee for assessing and managing data privacy and cybersecurity risks, reviewing steps management has taken to monitor and control such cybersecurity risks, and regularly inquiring with our management team and internal auditors in connection therewith. The Audit Committee performs quarterly reviews of any confirmed cybersecurity incident. Additionally, on a bi-annual basis, the Audit Committee receives a comprehensive update regarding any cybersecurity events occurring during the prior period, progress of cybersecurity programs, changes in cybersecurity policies, and ongoing assessments of risks and mitigation activities, and to discuss the evolution of our cybersecurity strategy. The information in these reports and the results of these discussions are used to drive alignment on, and prioritization of, initiatives to enhance our cybersecurity strategies, policies, and processes and make recommendations to improve processes.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process for materiality determination of a cybersecurity threat event considers the possibility of contacting the Audit Committee for assistance, if needed, or to inform of the evolution of an incident with possible material impact.</w:t>
      </w:r>
    </w:p>
    <w:p>
      <w:pPr>
        <w:spacing w:after="0" w:line="16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Materiality Determination Committee is tasked with determining the materiality of cybersecurity incidents. Also, on a regular basis, the CISO updates the Executive Leadership Team on cybersecurity matters including any confirmed incident or any possible threat with a material or otherwise meaningful impact and shares an updated dashboard with key performance indicators on on-going efforts and long-term metrics.</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CISO is directly responsible for directing, “all cyber related activities (including monitoring, preventing, detecting, mitigating, and remediating)” and informing the Audit Committee of any cybersecurity incident or threat with material impact, including such threats associated with our use of external suppliers and other third-party service providers.</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CISO and Vice President of Information Security have more than 25- and 30-years’ experience, respectively, working directly in the cybersecurity industry, performing and coordinating red-teaming and blue-teaming exercises, conducting research and developing cybersecurity tools and products, as well as presenting at various international conferences.</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Information Security Team is segmented into three distinct sections: IDR, Secure Development (“SDLC”), and Infrastructure and Access Control (“IAC”). Furthermore, it collaborates with our product groups to integrate security measures into our products and services, thereby enhancing the overall security posture for our customers.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operate a facility in a free trade zone, Zonamerica, in Montevideo, Uruguay, which consists of approximately 11,300 square feet of office space and an approximately 11,200 square foot manufacturing plant, with an annual production capacity of approximately 24 satellites, which is leased pursuant to multi-year lease agreements until May 2030.</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we maintain approximately 10,300 square feet of aggregate space dedicated to administrative, finance, sales, marketing and R&amp;D functions in Buenos Aires, Argentina (R&amp;D and administrative), Córdoba, Argentina (R&amp;D), Barcelona, Spain (R&amp;D), and our principal executive office in Davidson, North Carolina, United States (finance, sales and marketing).</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Our office buildings are leased over various lease terms extending until the end of calendar year 2029. We believe that our office space is adequate for our current needs and should we need additional space, we believe we will be able to obtain additional space on commercially reasonable terms.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2" w:lineRule="exact"/>
        <w:rPr>
          <w:sz w:val="20"/>
          <w:szCs w:val="20"/>
          <w:color w:val="auto"/>
        </w:rPr>
      </w:pPr>
    </w:p>
    <w:p>
      <w:pPr>
        <w:ind w:left="720" w:right="500" w:hanging="718"/>
        <w:spacing w:after="0" w:line="2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479"/>
        <w:spacing w:after="0" w:line="290" w:lineRule="auto"/>
        <w:rPr>
          <w:sz w:val="20"/>
          <w:szCs w:val="20"/>
          <w:color w:val="auto"/>
        </w:rPr>
      </w:pPr>
      <w:r>
        <w:rPr>
          <w:rFonts w:ascii="Times New Roman" w:cs="Times New Roman" w:eastAsia="Times New Roman" w:hAnsi="Times New Roman"/>
          <w:sz w:val="17"/>
          <w:szCs w:val="17"/>
          <w:color w:val="auto"/>
        </w:rPr>
        <w:t>The Company’s Class A common stock and Public Warrants are traded on the Nasdaq Capital Market under the trading symbols “SATL” and “SATLW,” respectively. There were approximately 88 stockholders of record of Class A shares and 4 holders of record of the Warrants as of March 14, 2026.</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34"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The Company has never declared or paid any cash dividends and has no plan to declare or pay any dividends on Class A common stock in the foreseeable future. In addition, our ability to pay dividends is prohibited by the terms of our Secured Convertible Notes. The Company currently intends to retain any earnings for future operations and expansion.</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not purchased any of its own shares or Warrants in the two most recent years.</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concerning the Company’s equity compensation plans is incorporated herein by reference to Item 12 of Part III of this Report.</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unregistered sales of equity securities for the fiscal year ended December 31, 2025.</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6" w:lineRule="exact"/>
        <w:rPr>
          <w:sz w:val="20"/>
          <w:szCs w:val="20"/>
          <w:color w:val="auto"/>
        </w:rPr>
      </w:pPr>
    </w:p>
    <w:p>
      <w:pPr>
        <w:jc w:val="both"/>
        <w:ind w:firstLine="479"/>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Founded in 2010 by Emiliano Kargieman and Gerardo Richarte, Satellogic is the first vertically integrated geospatial company, driving real outcomes with planetary-scale insights. Satellogic has built a scalable, fully automated EO platform with the ability, when scaled, to remap the entire planet with an optimal balance of frequency and resolution at unprecedented unit economics, providing accessible and affordable solutions for our customers.</w:t>
      </w:r>
    </w:p>
    <w:p>
      <w:pPr>
        <w:spacing w:after="0" w:line="17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w:t>
      </w:r>
    </w:p>
    <w:p>
      <w:pPr>
        <w:spacing w:after="0" w:line="209"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believe our unmatched capacity and ability to scale, our cost leadership and technical superiority, and our non-ITAR (International Traffic in Arms Regulations) design provides us with key competitive advantages.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Unmatched Capacity and Ability to Scale</w:t>
      </w:r>
    </w:p>
    <w:p>
      <w:pPr>
        <w:spacing w:after="0" w:line="223"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Today’s EO data market is supply-constrained with customers demanding more data at lower costs. With 17 operational satellites and two satellites in commissioning as of December 31, 2025, we have one of the largest high-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constellations commercially available with the ability to significantly leverage existing, in-orbit capabilities as capacity and cost champions.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Radical Cost Leadership and Technical Superiority</w:t>
      </w:r>
    </w:p>
    <w:p>
      <w:pPr>
        <w:spacing w:after="0" w:line="25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Non-ITAR Design</w:t>
      </w:r>
    </w:p>
    <w:p>
      <w:pPr>
        <w:spacing w:after="0" w:line="223" w:lineRule="exact"/>
        <w:rPr>
          <w:sz w:val="20"/>
          <w:szCs w:val="20"/>
          <w:color w:val="auto"/>
        </w:rPr>
      </w:pPr>
    </w:p>
    <w:p>
      <w:pPr>
        <w:jc w:val="both"/>
        <w:ind w:right="760" w:firstLine="479"/>
        <w:spacing w:after="0" w:line="261" w:lineRule="auto"/>
        <w:rPr>
          <w:sz w:val="20"/>
          <w:szCs w:val="20"/>
          <w:color w:val="auto"/>
        </w:rPr>
      </w:pPr>
      <w:r>
        <w:rPr>
          <w:rFonts w:ascii="Times New Roman" w:cs="Times New Roman" w:eastAsia="Times New Roman" w:hAnsi="Times New Roman"/>
          <w:sz w:val="18"/>
          <w:szCs w:val="18"/>
          <w:color w:val="auto"/>
        </w:rPr>
        <w:t>We are a U.S.-incorporated company operating without the heavy burden of export controls based on our non-ITAR design and our principal manufacturing location in Montevideo, Uruguay. This allows us to provide unique, disruptively priced sovereign and defense solutions rapidly with technology and knowledge transfer resulting in local manufacturing capabilities and in-orbit flight heritage.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250"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Our strategy is focused along two distinct business lines: Data &amp; Analytics, including Constellation as a Service (“CaaS”), and Space Systems. These two business lines will allow us to serve the existing EO market and begin to democratize access to a host of new EO customers.</w:t>
      </w:r>
    </w:p>
    <w:p>
      <w:pPr>
        <w:spacing w:after="0" w:line="190"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We expect the Data &amp; Analytics business, including our CaaS business, will continue to represent the most predictable revenue stream, and we anticipate that it will be among the primary drivers of the business going forward. As the capacity and cost champions for high-resolution imagery, we offer our customers flexible monitoring and multiple captures per day at low latency. With the capabilities and capacity we have in orbit today, we can support a growing number of customers around the world.</w:t>
      </w:r>
    </w:p>
    <w:p>
      <w:pPr>
        <w:spacing w:after="0" w:line="21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our customers own, assemble and integrate their own satellites with operational support provided by us in their local AIT (Assembly, Integration and Test) facility. We anticipate our Data &amp; Analytics line of business will augment the capabilities of many of the Space Systems customers.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our performance and future success depend on several factors that present significant opportunities for us but also pose risks and challenges. Although our industry is highly competitive, we believe that we have competitive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w:t>
      </w:r>
    </w:p>
    <w:p>
      <w:pPr>
        <w:spacing w:after="0" w:line="208"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More specifically, we believe some of our key opportunities include the continued adoption of our high-resolution EO images, primarily with D&amp;I customers within the U.S. government and allied countries. Additionally, the increase in 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spacing w:after="0" w:line="207" w:lineRule="exact"/>
        <w:rPr>
          <w:sz w:val="20"/>
          <w:szCs w:val="20"/>
          <w:color w:val="auto"/>
        </w:rPr>
      </w:pPr>
    </w:p>
    <w:p>
      <w:pPr>
        <w:jc w:val="both"/>
        <w:ind w:right="20" w:firstLine="479"/>
        <w:spacing w:after="0" w:line="260" w:lineRule="auto"/>
        <w:rPr>
          <w:sz w:val="20"/>
          <w:szCs w:val="20"/>
          <w:color w:val="auto"/>
        </w:rPr>
      </w:pPr>
      <w:r>
        <w:rPr>
          <w:rFonts w:ascii="Times New Roman" w:cs="Times New Roman" w:eastAsia="Times New Roman" w:hAnsi="Times New Roman"/>
          <w:sz w:val="18"/>
          <w:szCs w:val="18"/>
          <w:color w:val="auto"/>
        </w:rPr>
        <w:t>We are currently an early-stage company, and while our revenues have increased each year, we have historically generated insufficient revenues to sustain the business from both legacy and new business lines and have relied on outside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 See “Risk Factors – Risks Related to our Business and Industry.”</w:t>
      </w:r>
    </w:p>
    <w:p>
      <w:pPr>
        <w:spacing w:after="0" w:line="215"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In addition, we believe the Domestication with greater visibility to investors and customers, particularly as we pursue U.S. government D&amp;I-related contracts, and our success in leveraging this structure change will also be a key factor in our future operating results. However, there can be no assurance that the Domestication will allow us to successfully obtain such contracts or resolve other risks related to competing for government contracts. See “Item 1A. Risk Factors – Risks Related to the Change in Our Place of Incorporation.”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Results of Operations</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Consolidated Statements of Operations and Comprehensive Loss.</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an early-stage revenue company with limited commercial operations, and our activities to date have been conducted in South America, Asia, Europe and North America. Currently, we conduct business through one operating segment. The Consolidated Financial Statements as of December 31, 2025 and 2024, and for the years then ended (the “Consolidated Financial Statements”) have been prepared in accordance with U.S. GAAP and the rules and regulations of the SEC.</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wholly owned subsidiaries. All intercompany accounts and transactions have been eliminated in consolidation. The Consolidated Financial Statements are presented in United States thousands of dollars (hereinafter “U.S. dollars” or “$”), unless stated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Revenue is currently derived from our Data &amp; Analytics and Space Systems business lines. We sell our imagery to Data &amp; Analytics customers as a single task and recognize revenue at a point-in-time, while we enter into arrangements with CaaS customers that provide a stand-ready commitment and recognize revenue over time. For our Space Systems business lines, we sell our satellites and related products directly to customers and typically recognize revenue at a point in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sales includes direct costs related to ground stations, cloud and infrastructure costs and digital image processing.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the costs related to salaries, wages and other benefits, professional fees and stock-based compensation expense related to our back-office functions. Also included in general and administrative expenses are expense for estimated credit losses on accounts receivable and other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Engineering includes research and development expenses, and consists of the costs related to salaries, wages and other benefits, professional fees, stock-based compensation expense and other engineering-related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includes depreciation of satellites and other property and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Interest income (expense), net is primarily comprised of interest earned on our Cash and Cash Equivalents, partially offset by interest expense. Interest expense on the Secured Convertible Notes recognized at fair value is included in Change in fair value of financial instruments.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Secured Convertible Notes, warrant liabilities, and earnout liabilities are subject to remeasurement to fair value at each balance sheet date. Changes in the fair value of these liabilities are recorded to Change in fair value of financial instruments in the Consolidated Statements of Operations and Comprehensive Loss. Since our Secured Convertible Notes are valued utilizing the fair value option, interest expense on the Secured Convertible Notes is also included.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Loss on extinguishment of debt consists of the net of gains and losses from the extinguishment of debt instruments.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6"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Other income (expense), net consists mainly of differences related to foreign exchange gains and losses as well as gains and losses on disposal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years ended December 31, 2025 and 2024</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12,870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shown separately below</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12,655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65,076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(52,206)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21,187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(113,414)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109,304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(116,272)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111,489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revenue increased $4.8 million, or 38% to $17.7 million from $12.9 million for the year ended December 31, 2024, driven by a $4.9 million increase in imagery ordered by new and existing Data &amp; Analytics customers. Revenue for the year ended December 31, 2025 included $16.0 million attributable to our Data &amp; Analytics line of business and $1.7 million attributable to our Space Systems line of business compared to $11.1 million and $1.8 million respectively, in the prior year.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Cost of sales, exclusive of depreciation, decreased $148 thousand, or 3%, to $4.9 million for the year ended December 31, 2025 from $5.0 million for the year ended December 31, 2024. The decrease was primarily due to lower cloud service costs and Space Systems costs partially offset by antenna rental and ground station costs.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23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Engineering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80" w:type="dxa"/>
            <w:vAlign w:val="bottom"/>
          </w:tcPr>
          <w:p>
            <w:pPr>
              <w:spacing w:after="0"/>
              <w:rPr>
                <w:sz w:val="20"/>
                <w:szCs w:val="20"/>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10,259</w:t>
            </w:r>
          </w:p>
        </w:tc>
        <w:tc>
          <w:tcPr>
            <w:tcW w:w="8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4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3"/>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10,375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14,405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Engineering expenses decreased $4.0 million, or 28%, to $10.4 million for the year ended December 31, 2025 from $14.4 million for the year ended December 31, 2024. The decrease was driven primarily by a decrease in salaries, wages, and other benefits as a result of the Company’s workforce reductions in 2024 and other expense reductions resulting from continued cash control measures during 2024, in addition to a reduction in costs resulting from the termination of our high-throughput plant lease in the Netherlands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7"/>
                <w:szCs w:val="17"/>
                <w:color w:val="auto"/>
              </w:rPr>
            </w:pPr>
          </w:p>
        </w:tc>
        <w:tc>
          <w:tcPr>
            <w:tcW w:w="2300" w:type="dxa"/>
            <w:vAlign w:val="bottom"/>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5"/>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costs and fees related to Secured Convertible Notes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9,033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 for estimated credit losses on accounts receivable, net of recoveries collected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28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2"/>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administrative expenses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4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25,735</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32,992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8"/>
          <w:szCs w:val="18"/>
          <w:color w:val="auto"/>
        </w:rPr>
        <w:t>Selling, general and administrative expenses decreased $7.3 million, or 22%, to $25.7 million during the year ended December 31, 2025, from $33.0 million for the year ended December 31, 2024. The decrease was driven primarily by a $4.5 million decrease in professional fees consisting mainly of the accrued advisory fee pursuant to the Liberty Subscription Agreement that was fully accrued in 2024 (see Note 4 (Reverse Recapitalization) to the Consolidated Financial Statements), and $2.4 million of issuance costs and fees related to the Secured Convertible Notes in 2024, partially offset by professional fees related to the Domestication in 2025. The decrease was also partially driven by a $2.0 million decrease in salaries, wages, and other benefits as a result of the Company’s workforce reductions in 2024 and other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expense reductions resulting from cash control measures during 2024. These increases were partially offset by an increase in stock-based compensation resulting from a restricted stock unit grant issued during the current year.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Depreciation expense decreased $4.9 million, or 39%, to $7.7 million for the year ended December 31, 2025, as compared to $12.7 million for the year ended December 31, 2024. The decrease was due primarily to the decommissioning of 8 satellites upon reaching the end of their useful life since the fourth quarter of 2024 compared to the launch of 3 satellites into our constellation in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1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Interest income, net increased by $0.6 million, or 63%, to $1.6 million for the year ended December 31, 2025, from $1.0 million for the year ended December 31, 2024. The increase was due primarily to a $0.6 million increase in interest income on cash and cash equivalents due to higher average cash and cash equivalents balances in 2025 compared to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5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year over year positive change in fair value of financial instruments of $85.9 million was related to net gains of $25.9 million for the year ended December 31, 2025, compared to net losses of $60.1 million for the year ended December 31, 2024. The change was primarily driven by the remeasurement of the fair value of the Secured Convertible Notes and our warrant and earnout liabilities primarily impacted by changes in our stock price.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Other income (expense), net improved by $1.6 million, or 74%, to $0.5 million of expense for the year ended December 31, 2025, compared to $2.1 million of expense for the year ended December 31, 2024. The improvement was primarily due to the loss on disposal of leasehold improvements in 2024 from the termination of our high-throughput plant lease in the Netherlands, partially offset by foreign currency exchange net losses for the year ended December 31, 2025 compared to net gains for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Income tax expense decreased by $2.2 million, or 76%, to $0.7 million for the year ended December 31, 2025, from $2.9 million for the year ended December 31, 2024. The decrease was due primarily to a lower amount of foreign taxes recorded in Argentina compared to the prior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define Non-GAAP EBITDA as net loss excluding interest, income taxes, depreciation and amortization. We did not incur amortization expense during the years ended December 31, 2025 and 2024.</w:t>
      </w:r>
    </w:p>
    <w:p>
      <w:pPr>
        <w:spacing w:after="0" w:line="163"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We define Non-GAAP Adjusted EBITDA as Non-GAAP EBITDA further adjusted for other income, net, changes in the fair value of financial instruments, and stock-based compensation. Other income, net consists primarily of foreign currency gains and losses.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define Non-GAAP Free Cash Flow as net cash used in operating activities less payments for capital expenditures.</w:t>
      </w:r>
    </w:p>
    <w:p>
      <w:pPr>
        <w:spacing w:after="0" w:line="21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65" w:name="page66"/>
    <w:bookmarkEnd w:id="65"/>
    <w:p>
      <w:pPr>
        <w:jc w:val="both"/>
        <w:spacing w:after="0" w:line="250" w:lineRule="auto"/>
        <w:rPr>
          <w:sz w:val="20"/>
          <w:szCs w:val="20"/>
          <w:color w:val="auto"/>
        </w:rPr>
      </w:pPr>
      <w:r>
        <w:rPr>
          <w:rFonts w:ascii="Times New Roman" w:cs="Times New Roman" w:eastAsia="Times New Roman" w:hAnsi="Times New Roman"/>
          <w:sz w:val="18"/>
          <w:szCs w:val="18"/>
          <w:color w:val="auto"/>
        </w:rPr>
        <w:t>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our non-GAAP financial measures, along with the most comparable GAAP metric:</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to stockholders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(116,272)</w:t>
            </w:r>
          </w:p>
        </w:tc>
      </w:tr>
      <w:tr>
        <w:trPr>
          <w:trHeight w:val="211"/>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(100,688)</w:t>
            </w:r>
          </w:p>
        </w:tc>
      </w:tr>
      <w:tr>
        <w:trPr>
          <w:trHeight w:val="21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(33,731)</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EBITDA and Non-GAAP Adjusted EBITDA to our net loss for the periods indicated.</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(116,272)</w:t>
            </w:r>
          </w:p>
        </w:tc>
        <w:tc>
          <w:tcPr>
            <w:tcW w:w="0" w:type="dxa"/>
            <w:vAlign w:val="bottom"/>
          </w:tcPr>
          <w:p>
            <w:pPr>
              <w:spacing w:after="0"/>
              <w:rPr>
                <w:sz w:val="1"/>
                <w:szCs w:val="1"/>
                <w:color w:val="auto"/>
              </w:rPr>
            </w:pPr>
          </w:p>
        </w:tc>
      </w:tr>
      <w:tr>
        <w:trPr>
          <w:trHeight w:val="211"/>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211"/>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 expense</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EBITDA</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(100,688)</w:t>
            </w:r>
          </w:p>
        </w:tc>
        <w:tc>
          <w:tcPr>
            <w:tcW w:w="0" w:type="dxa"/>
            <w:vAlign w:val="bottom"/>
          </w:tcPr>
          <w:p>
            <w:pPr>
              <w:spacing w:after="0"/>
              <w:rPr>
                <w:sz w:val="1"/>
                <w:szCs w:val="1"/>
                <w:color w:val="auto"/>
              </w:rPr>
            </w:pPr>
          </w:p>
        </w:tc>
      </w:tr>
      <w:tr>
        <w:trPr>
          <w:trHeight w:val="211"/>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 related to Secured Convertible Notes</w:t>
            </w:r>
          </w:p>
        </w:tc>
        <w:tc>
          <w:tcPr>
            <w:tcW w:w="4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(income), net (1)</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11"/>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60,071</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(17,427)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(33,731)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firstLine="486"/>
        <w:spacing w:after="0" w:line="276" w:lineRule="auto"/>
        <w:tabs>
          <w:tab w:leader="none" w:pos="7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(income), net includes foreign exchange gain or loss and other non-operating income and expenses not considered indicative of our ongoing operational performance.</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Free Cash Flow to cash flows used in operating activities for the periods indicated.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79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2"/>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(35,890)</w:t>
            </w:r>
          </w:p>
        </w:tc>
      </w:tr>
      <w:tr>
        <w:trPr>
          <w:trHeight w:val="211"/>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purchases of property and equipment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(34,262)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(40,928)</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6" w:name="page67"/>
    <w:bookmarkEnd w:id="66"/>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maintained in highly liquid investments with remaining maturities of 90 days or less at the time of purchase. As of December 31, 2025, we had $94.4 million in cash and cash equivalents on hand and total Secured Convertible Note principal and accrued interest outstanding of $30.9 million.</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Since our formation, we have devoted substantial effort and capital resources to the development of our satellite constellation and image technology. As of December 31, 2025, we had an accumulated deficit of $404.9 million, and for the year ended December 31, 2025, we had net cash used in operating activities of $26.9 million.</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continue to maintain cost and spending control measures which were implemented in the second quarter of 2024, including controlling growth in our workforce to preserve liquidity.</w:t>
      </w:r>
    </w:p>
    <w:p>
      <w:pPr>
        <w:spacing w:after="0" w:line="16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On April 12, 2024, the Company, Borrower, and Holder Representative entered into the Note Purchase Agreement with the Purchaser, pursuant to which Borrower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Borrower), and are secured by substantially all of the Company’s and its subsidiaries’ assets (including all of its intellectual property). Borrower may issue additional Secured Convertible Notes under the terms thereof, provided the aggregate principal outstanding amount does not exceed $50.0 million. The Secured Convertible Notes mature on April 12, 2028.</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18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 connection with the Offering, the Company also entered into, a registration rights agreement with the Purchaser pursuant to which the Company agreed to register for resale the Class A common stock issuable upon conversion of the Secured Convertible Notes.</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December 8, 2024, the Company entered into a Share Purchase Agreement with the Purchaser, pursuant to which the Company issued in a private placement an aggregate of 3,571,429 Class A common stock to the Purchaser at a purchase price of $2.80 per share. The closing of the private placement occurred on December 10, 2024 and the Company received gross proceeds of $10,000,000. The net proceeds from the offering will be used for general corporate purposes.</w:t>
      </w:r>
    </w:p>
    <w:p>
      <w:pPr>
        <w:spacing w:after="0" w:line="195"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On December 10, 2024, the Company filed a shelf registration statement which registers, among other things, the offer and sale by us of up to $150 million aggregate amount of our Class A common stock. The shelf registration statement was declared effective by the SEC on December 20, 2024. In connection with the Domestication, the Company filed a post-effective amendment to the shelf registration statement that was declared effective by the SEC on March 31, 2025.</w:t>
      </w:r>
    </w:p>
    <w:p>
      <w:pPr>
        <w:spacing w:after="0" w:line="207" w:lineRule="exact"/>
        <w:rPr>
          <w:sz w:val="20"/>
          <w:szCs w:val="20"/>
          <w:color w:val="auto"/>
        </w:rPr>
      </w:pPr>
    </w:p>
    <w:p>
      <w:pPr>
        <w:jc w:val="both"/>
        <w:ind w:firstLine="479"/>
        <w:spacing w:after="0" w:line="233" w:lineRule="auto"/>
        <w:rPr>
          <w:sz w:val="20"/>
          <w:szCs w:val="20"/>
          <w:color w:val="auto"/>
        </w:rPr>
      </w:pPr>
      <w:r>
        <w:rPr>
          <w:rFonts w:ascii="Times New Roman" w:cs="Times New Roman" w:eastAsia="Times New Roman" w:hAnsi="Times New Roman"/>
          <w:sz w:val="18"/>
          <w:szCs w:val="18"/>
          <w:color w:val="auto"/>
        </w:rPr>
        <w:t>On December 20, 2024, the Company entered into a Sales Agreement with CF&amp;Co., acting as the Company’s sales agent, pursuant to which the Company may offer and sell, from time to time, through the Sales Agent, its Class A common stock, having an aggregate offering amount of up to $50,000,000 (the “ATM Program”). On February 12, 2025, the Company entered into the Amended Sales Agreement with CF&amp;Co. and Northland, pursuant to which Northland was added as an additional Sales Agent under the ATM Program. On April 9, 2025, the Company entered into the Second A&amp;R Sales Agreement with the Sales Agents, pursuant to which references to the Company’s Class A ordinary shares were replaced with references to the Company’s Class A common stock, along with other conforming changes, in connection with the Domestication. No Class A common stock was sold pursuant to the ATM Program during 2024. Since December 31, 2024 through the date of this Report the Company sold $8.7 million aggregate amount of Class A common stock under the ATM Program. On October 16, 2025, the Company decreased the amount of Class A common stock offered pursuant to the ATM Program, such that the Company offered up to an aggregate of $15 million of shares of Class A common stock pursuant to the ATM Program from and after the sale thereof, not including the shares of Class A common stock previously sold. On January 26, 2026, the Company decreased the amount of Class A common stock offered pursuant to the ATM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60" w:lineRule="auto"/>
        <w:rPr>
          <w:sz w:val="20"/>
          <w:szCs w:val="20"/>
          <w:color w:val="auto"/>
        </w:rPr>
      </w:pPr>
      <w:r>
        <w:rPr>
          <w:rFonts w:ascii="Times New Roman" w:cs="Times New Roman" w:eastAsia="Times New Roman" w:hAnsi="Times New Roman"/>
          <w:sz w:val="18"/>
          <w:szCs w:val="18"/>
          <w:color w:val="auto"/>
        </w:rPr>
        <w:t>Program, such that the Company could no longer make any sales of its Class A common stock pursuant to the ATM Program from and after the date thereof, not including the shares of Class A common stock previously sold.</w:t>
      </w:r>
    </w:p>
    <w:p>
      <w:pPr>
        <w:spacing w:after="0" w:line="190"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On April 15, 2025, the Company entered into the Securities Purchase Agreement with the purchaser party thereto, pursuant to which the Company agreed to issue and sell in a registered direct offering, 6,451,612 shares of the Company’s Class A common stock at an offering price of $3.10 per share. The gross proceeds to the Company from the offering were approximately $20 million, before deducting the placement agent’s fees and estimated offering expenses payable by the Company. The closing of the offering occurred on April 16, 2025. See Note 1 (Nature of the Business and Basis of Presentation) of this Report for further details.</w:t>
      </w:r>
    </w:p>
    <w:p>
      <w:pPr>
        <w:spacing w:after="0" w:line="207" w:lineRule="exact"/>
        <w:rPr>
          <w:sz w:val="20"/>
          <w:szCs w:val="20"/>
          <w:color w:val="auto"/>
        </w:rPr>
      </w:pPr>
    </w:p>
    <w:p>
      <w:pPr>
        <w:jc w:val="both"/>
        <w:ind w:firstLine="639"/>
        <w:spacing w:after="0" w:line="253" w:lineRule="auto"/>
        <w:rPr>
          <w:sz w:val="20"/>
          <w:szCs w:val="20"/>
          <w:color w:val="auto"/>
        </w:rPr>
      </w:pPr>
      <w:r>
        <w:rPr>
          <w:rFonts w:ascii="Times New Roman" w:cs="Times New Roman" w:eastAsia="Times New Roman" w:hAnsi="Times New Roman"/>
          <w:sz w:val="18"/>
          <w:szCs w:val="18"/>
          <w:color w:val="auto"/>
        </w:rPr>
        <w:t>On October 15, 2025, the Company entered into an Underwriting Agreement (the “Underwriting Agreement”) with CF&amp;Co., as representative of the underwriters named therein, in connection with an underwritten public offering of 27,692,308 shares of the Company’s Class A common stock, par value $0.0001 per share, at a public offering price of $3.25 per share.</w:t>
      </w:r>
    </w:p>
    <w:p>
      <w:pPr>
        <w:spacing w:after="0" w:line="197" w:lineRule="exact"/>
        <w:rPr>
          <w:sz w:val="20"/>
          <w:szCs w:val="20"/>
          <w:color w:val="auto"/>
        </w:rPr>
      </w:pPr>
    </w:p>
    <w:p>
      <w:pPr>
        <w:jc w:val="both"/>
        <w:ind w:firstLine="639"/>
        <w:spacing w:after="0" w:line="246"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underwriters a 30-day option to purchase up to 4,153,846 additional shares of Class A common stock. The gross proceeds to the Company from the offering were $90 million, before deducting underwriting discounts and commissions and other estimated offering expenses payable by the Company. All of the shares were sold by the Company. The closing of the offering occurred on October 17, 2025.</w:t>
      </w:r>
    </w:p>
    <w:p>
      <w:pPr>
        <w:spacing w:after="0" w:line="19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January 26, 2026, the Company entered into a share purchase agreement with the purchasers party thereto, pursuant to which the Company agreed to issue and sell in a registered direct offering, 7,399,578 shares of the Company’s Class A common stock, par value $0.0001 per share, at an offering price of $4.73 per share. The gross proceeds to the Company from the offering were approximately $35 million, before deducting the placement agents’ fees and estimated offering expenses payable by the Company. The closing of the offering occurred on January 27, 2026.</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resolved the doubt as to its ability to continue as a going concern previously disclosed in the 2024 Form 10-K. Management believes that current liquidity and expected operating cash flows are sufficient to fund operations and meet obligations for at least the next twelve months.</w:t>
      </w:r>
    </w:p>
    <w:p>
      <w:pPr>
        <w:spacing w:after="0" w:line="17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Currently, we primarily rely on our existing cash and cash equivalents balances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set forth in Item 1A. Risk Factors included in this Report, could have an adverse impact on our business and financial prospects and cause us to seek additional financing to fund future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68" w:name="page69"/>
    <w:bookmarkEnd w:id="68"/>
    <w:p>
      <w:pPr>
        <w:ind w:left="480"/>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 information for the years ended December 31, 2025 and 2024.</w:t>
      </w:r>
    </w:p>
    <w:p>
      <w:pPr>
        <w:spacing w:after="0" w:line="25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(26,886)</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flows provided by 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3"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flows used in operating activities are as follows:</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(116,27</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Adjustments for the impact of non-cash items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adjusted for the impact of non-cash items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0" w:type="dxa"/>
            <w:vAlign w:val="bottom"/>
          </w:tcPr>
          <w:p>
            <w:pPr>
              <w:spacing w:after="0"/>
              <w:rPr>
                <w:sz w:val="1"/>
                <w:szCs w:val="1"/>
                <w:color w:val="auto"/>
              </w:rPr>
            </w:pP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3"/>
        </w:trPr>
        <w:tc>
          <w:tcPr>
            <w:tcW w:w="7960" w:type="dxa"/>
            <w:vAlign w:val="bottom"/>
          </w:tcPr>
          <w:p>
            <w:pPr>
              <w:ind w:left="340"/>
              <w:spacing w:after="0" w:line="213" w:lineRule="exact"/>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0"/>
                <w:szCs w:val="20"/>
                <w:color w:val="auto"/>
                <w:vertAlign w:val="superscript"/>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26"/>
        </w:trPr>
        <w:tc>
          <w:tcPr>
            <w:tcW w:w="7960" w:type="dxa"/>
            <w:vAlign w:val="bottom"/>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0"/>
                <w:szCs w:val="20"/>
                <w:color w:val="auto"/>
                <w:vertAlign w:val="superscript"/>
              </w:rPr>
              <w:t>(6)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CCEEFF"/>
            </w:tcBorders>
          </w:tcPr>
          <w:p>
            <w:pPr>
              <w:ind w:left="34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480" w:right="600" w:firstLine="485"/>
        <w:spacing w:after="0" w:line="261" w:lineRule="auto"/>
        <w:tabs>
          <w:tab w:leader="none" w:pos="12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items such as depreciation, changes in the fair value of financial instruments, interest expense, income tax, stock-based compensation expense, expense for estimated credit losses on accounts receivable, loss on debt extinguishment, changes in foreign currency and others.</w:t>
      </w:r>
    </w:p>
    <w:p>
      <w:pPr>
        <w:spacing w:after="0" w:line="176"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primarily due to higher accounts receivable from a Space Systems customer.</w:t>
      </w:r>
    </w:p>
    <w:p>
      <w:pPr>
        <w:spacing w:after="0" w:line="218"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due to two satellites being built for a Space Systems customer.</w:t>
      </w:r>
    </w:p>
    <w:p>
      <w:pPr>
        <w:spacing w:after="0" w:line="218" w:lineRule="exact"/>
        <w:rPr>
          <w:rFonts w:ascii="Times New Roman" w:cs="Times New Roman" w:eastAsia="Times New Roman" w:hAnsi="Times New Roman"/>
          <w:sz w:val="18"/>
          <w:szCs w:val="18"/>
          <w:color w:val="auto"/>
        </w:rPr>
      </w:pPr>
    </w:p>
    <w:p>
      <w:pPr>
        <w:ind w:left="1280" w:right="780" w:hanging="315"/>
        <w:spacing w:after="0" w:line="276" w:lineRule="auto"/>
        <w:tabs>
          <w:tab w:leader="none" w:pos="1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primarily due to timing of payments including lower prepaid insurance expenses at December 31, 2025 compared to December 31, 2024.</w:t>
      </w:r>
    </w:p>
    <w:p>
      <w:pPr>
        <w:spacing w:after="0" w:line="16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primarily due to the timing of payments.</w:t>
      </w:r>
    </w:p>
    <w:p>
      <w:pPr>
        <w:spacing w:after="0" w:line="218"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primarily due to a net increase primarily from a new Space Systems revenue contract in 2025.</w:t>
      </w:r>
    </w:p>
    <w:p>
      <w:pPr>
        <w:spacing w:after="0" w:line="218" w:lineRule="exact"/>
        <w:rPr>
          <w:rFonts w:ascii="Times New Roman" w:cs="Times New Roman" w:eastAsia="Times New Roman" w:hAnsi="Times New Roman"/>
          <w:sz w:val="18"/>
          <w:szCs w:val="18"/>
          <w:color w:val="auto"/>
        </w:rPr>
      </w:pPr>
    </w:p>
    <w:p>
      <w:pPr>
        <w:ind w:left="1280" w:right="360" w:hanging="315"/>
        <w:spacing w:after="0" w:line="276" w:lineRule="auto"/>
        <w:tabs>
          <w:tab w:leader="none" w:pos="1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primarily due to timing of payments including the $7.5 million Liberty management fee payment made in 2025, for which $5.0 million was accrued for in 2024.</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31" w:right="239" w:bottom="1440" w:gutter="0" w:footer="0" w:header="0"/>
        </w:sectPr>
      </w:pPr>
    </w:p>
    <w:bookmarkStart w:id="69" w:name="page70"/>
    <w:bookmarkEnd w:id="69"/>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spacing w:after="0" w:line="17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$7.4 million for the year ended December 31, 2025, compared to $5.0 million for the year ended December 31, 2024. The increase in cash used in investing activities was primarily driven by an increase in property and equipment purchases in the fourth quarter of 2025 after cost control measures implemented in 2023 limited satellites launched for the Company’s constellation to 3 and 5 during the year ended December 31, 2025 and the year ended December 31, 2024, respectively.</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$112.5 million for the year ended December 31, 2025 compared to net cash provided by financing activities of $37.5 million for the year ended December 31, 2024. The increase in cash provided by financing activities resulted primarily from proceeds from the underwritten public offering in October 2025 and registered direct offering in April 2025, net of transaction costs, compared to proceeds from Secured Convertible Notes and the PIPE Investment, net of transaction fees received in 2024.</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17 (Secured Convertible Notes) to the Consolidated Financial Statements for a discussion of our debt at December 31, 2025 and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8"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and assumptions that affect the reported amounts of assets, liabilities, revenues and expenses and the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19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a greater degree of management’s judgment and complexity.</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 valuations represent our best estimates, which involve inherent uncertainties and the application of management’s judgment. As a result, if we used significantly different assumptions or estimates, the stock-based compensation expense for prior periods could have been materially different.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3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The recognition and measurement of revenue requires the use of judgments and estimates. Specifically, judgment is used in interpreting complex arrangements with nonstandard terms and conditions and determining when all criteria for revenue recognition have been met. We primarily generate revenue from the sale of imagery and related services. Identifying the performance obligations contained in a contract, determining transaction price, allocating transaction price, and determining when performance obligations are satisfied can require the application of significant judgment.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Identifying the performance obligations in a contract</w:t>
      </w:r>
    </w:p>
    <w:p>
      <w:pPr>
        <w:spacing w:after="0" w:line="248"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We execute contracts for a single promise or multiple promises. Specifically, our contracts may include multiple promises which are accounted for as separate performance obligations. Significant judgment is required in determining performance obligations, and these decisions could change the amount of revenue and profit or loss recorded in each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and allocation of transaction price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0" w:name="page71"/>
    <w:bookmarkEnd w:id="70"/>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estimates any variable consideration, and whether the transaction price is constrained, upon execution of each contract. We may adjust the transaction price over time for any estimated constraints that become probable based on service level provisions within some of our customer purchase orders.</w:t>
      </w:r>
    </w:p>
    <w:p>
      <w:pPr>
        <w:spacing w:after="0" w:line="197"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When our contracts with customers contain multiple deliverables, we allocate the total arrangement consideration to each performance obligation representative of their determined selling prices. The determined selling price is the price at which we would sell a promised product or service separately to a customer. Judgment is required to determine the selling price for each distinct performance obligation. We determine the selling price by considering our overall pricing practices and market conditions, including our discounting practices, the size and volume of our transactions, the customer demographic, price lists, historical sales, contract prices and customer relationships.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1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carrying amount of our assets are reviewed at each reporting date to determine whether there is an indication of impairment in the value of the assets. Most of our fixed assets are satellites, but we also have tools, equipment, furniture and fixtures, computers and leasehold improvements. We do not own any buildings or land.</w:t>
      </w:r>
    </w:p>
    <w:p>
      <w:pPr>
        <w:spacing w:after="0" w:line="171"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We performed an impairment test as of December 31, 2025 and 2024 due to our net losses for the related periods. We concluded that our asset group is not impaired as our test concluded that the expected future undiscounted cash flows exceeded the carrying value of the asset group.</w:t>
      </w:r>
    </w:p>
    <w:p>
      <w:pPr>
        <w:spacing w:after="0" w:line="164" w:lineRule="exact"/>
        <w:rPr>
          <w:sz w:val="20"/>
          <w:szCs w:val="20"/>
          <w:color w:val="auto"/>
        </w:rPr>
      </w:pPr>
    </w:p>
    <w:p>
      <w:pPr>
        <w:jc w:val="both"/>
        <w:ind w:right="20" w:firstLine="479"/>
        <w:spacing w:after="0" w:line="233" w:lineRule="auto"/>
        <w:rPr>
          <w:sz w:val="20"/>
          <w:szCs w:val="20"/>
          <w:color w:val="auto"/>
        </w:rPr>
      </w:pPr>
      <w:r>
        <w:rPr>
          <w:rFonts w:ascii="Times New Roman" w:cs="Times New Roman" w:eastAsia="Times New Roman" w:hAnsi="Times New Roman"/>
          <w:sz w:val="18"/>
          <w:szCs w:val="18"/>
          <w:color w:val="auto"/>
        </w:rPr>
        <w:t>Estimates of future cash flows are highly subjective judgments using Level 3 inputs based on management’s experience and knowledge of our operations. These estimates can be significantly impacted by many factors, including changes in global economic conditions, operating costs, obsolescence of technology and competition.</w:t>
      </w:r>
    </w:p>
    <w:p>
      <w:pPr>
        <w:spacing w:after="0" w:line="18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If our estimates or underlying assumptions change in the future, we may be required to record impairment charges. If the recoverable amount of an asset group is less than its carrying amount, the carrying amount of the asset group would be reduced to its recoverable amount. That reduction is an impairment loss that would be recognized in the Consolidated Statements of Operations and Comprehensive Loss.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Convertible Notes</w:t>
      </w:r>
    </w:p>
    <w:p>
      <w:pPr>
        <w:spacing w:after="0" w:line="23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As permitted under ASC 825, Financial Instruments, (“ASC 825”), we elected the fair value option to account for our Secured Convertible Notes. We record changes in fair value of the Secured Convertible Notes in Changes in fair value of financial instruments in the statement of operations. The primary reason for electing the fair value option is to better reflect the way that the Company views the financial instrument by accounting for the Secured Convertible Notes at fair value in its entirety versus bifurcation of the embedded derivatives.</w:t>
      </w:r>
    </w:p>
    <w:p>
      <w:pPr>
        <w:spacing w:after="0" w:line="203"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The Secured Convertible Notes are categorized as a Level 3 fair value measurement using the "with and without" method. Specifically, the value of the Secured Convertible Notes are estimated with and without the embedded derivative, using discounted cash flow (DCF) and Black Scholes put option models, as well as the as-converted value of the conversion shares estimated based on the traded price of the underlying shares. Each of the aforementioned methods are special cases of the income approach. The significant assumptions used in the model include volatility and credit spread.</w:t>
      </w:r>
    </w:p>
    <w:p>
      <w:pPr>
        <w:spacing w:after="0" w:line="21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A change in assumptions used to estimate the fair value of the convertible notes could materially affect our financial condition and results of operations. Refer to Note 15 (Fair Value Measurements and Financial Instruments) and Note 17 (Secured Convertible Notes), to the Consolidated Financial Statements for information regarding the Secured Convertible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3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We generally classify warrants for the purchase of shares of our common stock as liabilities on our consolidated balance sheets unless the warrants meet certain specific criteria that require the warrants to be classified within stockholders’ deficit. Those warrants accounted for as liabilities are freestanding financial instruments that may require us to transfer assets upon exercise. The warrant liability is initially recorded at fair value upon the date of issuance of each warrant and is subsequently remeasured to fair value at each reporting date. The private warrants are categorized as Level 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1" w:name="page72"/>
    <w:bookmarkEnd w:id="71"/>
    <w:p>
      <w:pPr>
        <w:jc w:val="both"/>
        <w:spacing w:after="0" w:line="260" w:lineRule="auto"/>
        <w:rPr>
          <w:sz w:val="20"/>
          <w:szCs w:val="20"/>
          <w:color w:val="auto"/>
        </w:rPr>
      </w:pPr>
      <w:r>
        <w:rPr>
          <w:rFonts w:ascii="Times New Roman" w:cs="Times New Roman" w:eastAsia="Times New Roman" w:hAnsi="Times New Roman"/>
          <w:sz w:val="18"/>
          <w:szCs w:val="18"/>
          <w:color w:val="auto"/>
        </w:rPr>
        <w:t>fair value measurement using the Black-Scholes model with inputs that include current price of our common stock, exercise price, volatility, and risk-free 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Liabilities</w:t>
      </w:r>
    </w:p>
    <w:p>
      <w:pPr>
        <w:spacing w:after="0" w:line="234" w:lineRule="exact"/>
        <w:rPr>
          <w:sz w:val="20"/>
          <w:szCs w:val="20"/>
          <w:color w:val="auto"/>
        </w:rPr>
      </w:pPr>
    </w:p>
    <w:p>
      <w:pPr>
        <w:jc w:val="both"/>
        <w:ind w:firstLine="479"/>
        <w:spacing w:after="0" w:line="241" w:lineRule="auto"/>
        <w:rPr>
          <w:sz w:val="20"/>
          <w:szCs w:val="20"/>
          <w:color w:val="auto"/>
        </w:rPr>
      </w:pPr>
      <w:r>
        <w:rPr>
          <w:rFonts w:ascii="Times New Roman" w:cs="Times New Roman" w:eastAsia="Times New Roman" w:hAnsi="Times New Roman"/>
          <w:sz w:val="18"/>
          <w:szCs w:val="18"/>
          <w:color w:val="auto"/>
        </w:rPr>
        <w:t>In connection with the Reverse Recapitalization (see Note 4 (Reverse Recapitalization) to the Consolidated Financial Statements) and pursuant to the Merger Agreement, eligible Satellogic equity holders are entitled to receive additional shares of our common stock upon the achievement of certain earnout triggering events. In accordance with ASC 815-40, the earnout shares are not indexed to the common stock and therefore are accounted for as a liability at the Reverse Recapitalization date and subsequently remeasured at each reporting date with changes in fair value recorded as a component of Changes in Fair Value of Financial Instruments in the Consolidated Statements of Operations and Comprehensive Loss. The earnout liabilities are categorized as a Level 3 fair value measurement using the Monte Carlo model. The assumptions utilized in the calculation are based on the achievement of certain stock price milestones, including the current price of our common stock, expected volatility, and risk-free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0"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uncertain tax positions reflect management's best estimate of taxes to be paid based upon our income, statutory tax rates and tax planning opportunities in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 We review our tax positions semi-annually and adjust the balances as new information becomes available.</w:t>
      </w:r>
    </w:p>
    <w:p>
      <w:pPr>
        <w:spacing w:after="0" w:line="208"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7"/>
          <w:szCs w:val="17"/>
          <w:color w:val="auto"/>
        </w:rPr>
        <w:t>The Company records deferred tax assets to the extent the Company believes these assets will more-likely-than-not be realized. Estimates of the adequacy of future expected taxable income from all sources, including the reversal of taxable temporary differences, long- and short-range business plans and feasible and prudent tax planning strategies are considered to determine whether the deferred tax asset will be available for future utilization, prior to expiration. If the Company determines that it will not be able to utilize a deferred income tax asset whether due to expiration or a lack of income, a valuation allowance is recorded. If, in the future, sufficient positive evidence arises indicating that all or a portion of the deferred tax asset may be used, based upon the more-likely-than-not standard for realization, the valuation allowance would be reduced in the period that such evidence of realization is reached.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1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2025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also rely on certain reduced reporting and other requirements that are otherwise generally applicable to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2" w:name="page73"/>
    <w:bookmarkEnd w:id="72"/>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Refer to Note 3 (Accounting Standards Updates) in the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SUPPLEMENTAL DATA</w:t>
            </w:r>
          </w:p>
        </w:tc>
        <w:tc>
          <w:tcPr>
            <w:tcW w:w="1640" w:type="dxa"/>
            <w:vAlign w:val="bottom"/>
          </w:tcPr>
          <w:p>
            <w:pPr>
              <w:spacing w:after="0"/>
              <w:rPr>
                <w:sz w:val="20"/>
                <w:szCs w:val="20"/>
                <w:color w:val="auto"/>
              </w:rPr>
            </w:pPr>
          </w:p>
        </w:tc>
      </w:tr>
      <w:tr>
        <w:trPr>
          <w:trHeight w:val="879"/>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and Other Financial Information</w:t>
            </w:r>
          </w:p>
        </w:tc>
        <w:tc>
          <w:tcPr>
            <w:tcW w:w="1640" w:type="dxa"/>
            <w:vAlign w:val="bottom"/>
          </w:tcPr>
          <w:p>
            <w:pPr>
              <w:spacing w:after="0"/>
              <w:rPr>
                <w:sz w:val="24"/>
                <w:szCs w:val="24"/>
                <w:color w:val="auto"/>
              </w:rPr>
            </w:pPr>
          </w:p>
        </w:tc>
      </w:tr>
      <w:tr>
        <w:trPr>
          <w:trHeight w:val="319"/>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4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(Ernst &amp; Young LLP: PCAOB ID No. </w:t>
            </w:r>
            <w:r>
              <w:rPr>
                <w:rFonts w:ascii="Times New Roman" w:cs="Times New Roman" w:eastAsia="Times New Roman" w:hAnsi="Times New Roman"/>
                <w:sz w:val="18"/>
                <w:szCs w:val="18"/>
                <w:color w:val="000000"/>
              </w:rPr>
              <w:t>42)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8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and Comprehensive Loss for the years ended December 31, 2025 and 2024</w:t>
            </w:r>
          </w:p>
        </w:tc>
        <w:tc>
          <w:tcPr>
            <w:tcW w:w="14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0"/>
        </w:trPr>
        <w:tc>
          <w:tcPr>
            <w:tcW w:w="20" w:type="dxa"/>
            <w:vAlign w:val="bottom"/>
          </w:tcPr>
          <w:p>
            <w:pPr>
              <w:spacing w:after="0"/>
              <w:rPr>
                <w:sz w:val="22"/>
                <w:szCs w:val="22"/>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2025 and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0"/>
        </w:trPr>
        <w:tc>
          <w:tcPr>
            <w:tcW w:w="20" w:type="dxa"/>
            <w:vAlign w:val="bottom"/>
          </w:tcPr>
          <w:p>
            <w:pPr>
              <w:spacing w:after="0"/>
              <w:rPr>
                <w:sz w:val="22"/>
                <w:szCs w:val="22"/>
                <w:color w:val="auto"/>
              </w:rPr>
            </w:pPr>
          </w:p>
        </w:tc>
        <w:tc>
          <w:tcPr>
            <w:tcW w:w="7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1920" w:type="dxa"/>
            <w:vAlign w:val="bottom"/>
            <w:gridSpan w:val="2"/>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0"/>
        </w:trPr>
        <w:tc>
          <w:tcPr>
            <w:tcW w:w="20" w:type="dxa"/>
            <w:vAlign w:val="bottom"/>
          </w:tcPr>
          <w:p>
            <w:pPr>
              <w:spacing w:after="0"/>
              <w:rPr>
                <w:sz w:val="22"/>
                <w:szCs w:val="22"/>
                <w:color w:val="auto"/>
              </w:rPr>
            </w:pPr>
          </w:p>
        </w:tc>
        <w:tc>
          <w:tcPr>
            <w:tcW w:w="63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220" w:type="dxa"/>
            <w:vAlign w:val="bottom"/>
            <w:gridSpan w:val="4"/>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913"/>
        </w:trPr>
        <w:tc>
          <w:tcPr>
            <w:tcW w:w="20" w:type="dxa"/>
            <w:vAlign w:val="bottom"/>
          </w:tcPr>
          <w:p>
            <w:pPr>
              <w:spacing w:after="0"/>
              <w:rPr>
                <w:sz w:val="24"/>
                <w:szCs w:val="24"/>
                <w:color w:val="auto"/>
              </w:rPr>
            </w:pPr>
          </w:p>
        </w:tc>
        <w:tc>
          <w:tcPr>
            <w:tcW w:w="3360" w:type="dxa"/>
            <w:vAlign w:val="bottom"/>
            <w:tcBorders>
              <w:top w:val="single" w:sz="8" w:color="0000FF"/>
            </w:tcBorders>
          </w:tcPr>
          <w:p>
            <w:pPr>
              <w:spacing w:after="0"/>
              <w:rPr>
                <w:sz w:val="24"/>
                <w:szCs w:val="24"/>
                <w:color w:val="auto"/>
              </w:rPr>
            </w:pPr>
          </w:p>
        </w:tc>
        <w:tc>
          <w:tcPr>
            <w:tcW w:w="3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72</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74" w:name="page75"/>
    <w:bookmarkEnd w:id="74"/>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Satellogic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Satellogic Inc. (the Company) as of December 31, 2025 and 2024, the related consolidated statements of operations and comprehensive loss,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amounts)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shown separately below</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14,405</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32,992</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65,076</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(31,019)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(52,206)</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(60,071)</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(61,208)</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(113,414)</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(4,783)</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(116,272)</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gain (loss), net of tax</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(116,810)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share for the period attributable to holders of Common Stock</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Stock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109,134,266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91,164,286</w:t>
            </w:r>
          </w:p>
        </w:tc>
        <w:tc>
          <w:tcPr>
            <w:tcW w:w="0" w:type="dxa"/>
            <w:vAlign w:val="bottom"/>
          </w:tcPr>
          <w:p>
            <w:pPr>
              <w:spacing w:after="0"/>
              <w:rPr>
                <w:sz w:val="1"/>
                <w:szCs w:val="1"/>
                <w:color w:val="auto"/>
              </w:rPr>
            </w:pP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share for the period attributable to holders of Common Stock</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134,134,266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91,164,286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9"/>
                <w:szCs w:val="19"/>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$52 and $148, respectively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230"/>
        </w:trPr>
        <w:tc>
          <w:tcPr>
            <w:tcW w:w="8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115,174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27,864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5,722</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61,691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Earnout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r>
      <w:tr>
        <w:trPr>
          <w:trHeight w:val="233"/>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11,621</w:t>
            </w:r>
          </w:p>
        </w:tc>
      </w:tr>
      <w:tr>
        <w:trPr>
          <w:trHeight w:val="240"/>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22,505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34,621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Convertible Notes at fair value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90,777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114,723</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0 shares issued and outstanding as of December 31, 2025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and December 31, 2024</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Common Stock, $0.0001 par value, 385,000,000 shares authorized, 125,639,916 shares issued and 125,072,093</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outstanding as of December 31, 2025 and 83,000,501 shares issued and 82,432,678 shares outstanding as of</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B Common Stock, $0.0001 par value, 15,000,000 shares authorized, 10,582,641 shares issued and outstanding as of</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2025 and 13,582,642 shares issued and outstanding as of December 31, 2024</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 567,823 shares as of December 31, 2025 and 2024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473,486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356,247</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(404,888)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(400,105)</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60,526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(53,032)</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61,691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77" w:name="page78"/>
    <w:bookmarkEnd w:id="77"/>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right="-539"/>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120"/>
        </w:trPr>
        <w:tc>
          <w:tcPr>
            <w:tcW w:w="4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5"/>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0"/>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68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640" w:type="dxa"/>
            <w:vAlign w:val="bottom"/>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84"/>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90,303,985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$ 344,144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(283,833)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51,675</w:t>
            </w:r>
          </w:p>
        </w:tc>
        <w:tc>
          <w:tcPr>
            <w:tcW w:w="0" w:type="dxa"/>
            <w:vAlign w:val="bottom"/>
          </w:tcPr>
          <w:p>
            <w:pPr>
              <w:spacing w:after="0"/>
              <w:rPr>
                <w:sz w:val="1"/>
                <w:szCs w:val="1"/>
                <w:color w:val="auto"/>
              </w:rPr>
            </w:pPr>
          </w:p>
        </w:tc>
      </w:tr>
      <w:tr>
        <w:trPr>
          <w:trHeight w:val="17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(116,272)</w:t>
            </w: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upon PIPE Investment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3,571,429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9,516</w:t>
            </w:r>
          </w:p>
        </w:tc>
        <w:tc>
          <w:tcPr>
            <w:tcW w:w="0" w:type="dxa"/>
            <w:vAlign w:val="bottom"/>
          </w:tcPr>
          <w:p>
            <w:pPr>
              <w:spacing w:after="0"/>
              <w:rPr>
                <w:sz w:val="1"/>
                <w:szCs w:val="1"/>
                <w:color w:val="auto"/>
              </w:rPr>
            </w:pPr>
          </w:p>
        </w:tc>
      </w:tr>
      <w:tr>
        <w:trPr>
          <w:trHeight w:val="180"/>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2,139,806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34"/>
        </w:trPr>
        <w:tc>
          <w:tcPr>
            <w:tcW w:w="4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 equity</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179"/>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7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$8.63 Warrants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96,015,320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$ 356,247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(53,032)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4"/>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0"/>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vMerge w:val="continue"/>
          </w:tcPr>
          <w:p>
            <w:pPr>
              <w:spacing w:after="0"/>
              <w:rPr>
                <w:sz w:val="10"/>
                <w:szCs w:val="10"/>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0"/>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680" w:type="dxa"/>
            <w:vAlign w:val="bottom"/>
            <w:gridSpan w:val="3"/>
            <w:vMerge w:val="continue"/>
          </w:tcPr>
          <w:p>
            <w:pPr>
              <w:spacing w:after="0"/>
              <w:rPr>
                <w:sz w:val="10"/>
                <w:szCs w:val="10"/>
                <w:color w:val="auto"/>
              </w:rPr>
            </w:pPr>
          </w:p>
        </w:tc>
        <w:tc>
          <w:tcPr>
            <w:tcW w:w="94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4"/>
              <w:spacing w:after="0" w:line="120"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640" w:type="dxa"/>
            <w:vAlign w:val="bottom"/>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86"/>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96,015,320</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$ 356,247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(400,105)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(53,032)</w:t>
            </w:r>
          </w:p>
        </w:tc>
        <w:tc>
          <w:tcPr>
            <w:tcW w:w="0" w:type="dxa"/>
            <w:vAlign w:val="bottom"/>
          </w:tcPr>
          <w:p>
            <w:pPr>
              <w:spacing w:after="0"/>
              <w:rPr>
                <w:sz w:val="1"/>
                <w:szCs w:val="1"/>
                <w:color w:val="auto"/>
              </w:rPr>
            </w:pPr>
          </w:p>
        </w:tc>
      </w:tr>
      <w:tr>
        <w:trPr>
          <w:trHeight w:val="17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(4,783)</w:t>
            </w:r>
          </w:p>
        </w:tc>
        <w:tc>
          <w:tcPr>
            <w:tcW w:w="0" w:type="dxa"/>
            <w:vAlign w:val="bottom"/>
          </w:tcPr>
          <w:p>
            <w:pPr>
              <w:spacing w:after="0"/>
              <w:rPr>
                <w:sz w:val="1"/>
                <w:szCs w:val="1"/>
                <w:color w:val="auto"/>
              </w:rPr>
            </w:pPr>
          </w:p>
        </w:tc>
      </w:tr>
      <w:tr>
        <w:trPr>
          <w:trHeight w:val="193"/>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ATM Program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2,452,704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8,702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0" w:type="dxa"/>
            <w:vAlign w:val="bottom"/>
          </w:tcPr>
          <w:p>
            <w:pPr>
              <w:spacing w:after="0"/>
              <w:rPr>
                <w:sz w:val="1"/>
                <w:szCs w:val="1"/>
                <w:color w:val="auto"/>
              </w:rPr>
            </w:pPr>
          </w:p>
        </w:tc>
      </w:tr>
      <w:tr>
        <w:trPr>
          <w:trHeight w:val="237"/>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Registered Direct Offering</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6,451,612</w:t>
            </w:r>
          </w:p>
        </w:tc>
        <w:tc>
          <w:tcPr>
            <w:tcW w:w="8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18,769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18,769</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Underwritten Public 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27,692,308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84,908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84,908</w:t>
            </w:r>
          </w:p>
        </w:tc>
        <w:tc>
          <w:tcPr>
            <w:tcW w:w="0" w:type="dxa"/>
            <w:vAlign w:val="bottom"/>
          </w:tcPr>
          <w:p>
            <w:pPr>
              <w:spacing w:after="0"/>
              <w:rPr>
                <w:sz w:val="1"/>
                <w:szCs w:val="1"/>
                <w:color w:val="auto"/>
              </w:rPr>
            </w:pPr>
          </w:p>
        </w:tc>
      </w:tr>
      <w:tr>
        <w:trPr>
          <w:trHeight w:val="18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gain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0" w:type="dxa"/>
            <w:vAlign w:val="bottom"/>
          </w:tcPr>
          <w:p>
            <w:pPr>
              <w:spacing w:after="0"/>
              <w:rPr>
                <w:sz w:val="1"/>
                <w:szCs w:val="1"/>
                <w:color w:val="auto"/>
              </w:rPr>
            </w:pPr>
          </w:p>
        </w:tc>
      </w:tr>
      <w:tr>
        <w:trPr>
          <w:trHeight w:val="193"/>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3,042,790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0" w:type="dxa"/>
            <w:vAlign w:val="bottom"/>
          </w:tcPr>
          <w:p>
            <w:pPr>
              <w:spacing w:after="0"/>
              <w:rPr>
                <w:sz w:val="1"/>
                <w:szCs w:val="1"/>
                <w:color w:val="auto"/>
              </w:rPr>
            </w:pPr>
          </w:p>
        </w:tc>
      </w:tr>
      <w:tr>
        <w:trPr>
          <w:trHeight w:val="134"/>
        </w:trPr>
        <w:tc>
          <w:tcPr>
            <w:tcW w:w="43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0" w:type="dxa"/>
            <w:vAlign w:val="bottom"/>
          </w:tcPr>
          <w:p>
            <w:pPr>
              <w:spacing w:after="0"/>
              <w:rPr>
                <w:sz w:val="1"/>
                <w:szCs w:val="1"/>
                <w:color w:val="auto"/>
              </w:rPr>
            </w:pPr>
          </w:p>
        </w:tc>
      </w:tr>
      <w:tr>
        <w:trPr>
          <w:trHeight w:val="17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equity awards</w:t>
            </w:r>
          </w:p>
        </w:tc>
        <w:tc>
          <w:tcPr>
            <w:tcW w:w="8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135,654,734</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$ 473,486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(404,888)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60,526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62230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340"/>
          </w:cols>
          <w:pgMar w:left="1400" w:top="1237" w:right="11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(116,272)</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12,655</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issuance costs</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expense</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4,260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financial instruments, net of interest paid on Secured Convertible Notes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58,546</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(Release) expense for estimated credit losses on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net (income) loss of affiliate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change in contract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Contract liabilities</w:t>
            </w:r>
          </w:p>
        </w:tc>
        <w:tc>
          <w:tcPr>
            <w:tcW w:w="3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r>
      <w:tr>
        <w:trPr>
          <w:trHeight w:val="38"/>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(35,890)</w:t>
            </w: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38"/>
        </w:trPr>
        <w:tc>
          <w:tcPr>
            <w:tcW w:w="8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(5,032)</w:t>
            </w: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Secured Convertible Notes</w:t>
            </w:r>
          </w:p>
        </w:tc>
        <w:tc>
          <w:tcPr>
            <w:tcW w:w="5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transaction costs</w:t>
            </w:r>
          </w:p>
        </w:tc>
        <w:tc>
          <w:tcPr>
            <w:tcW w:w="5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8,236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from PIPE investment, net of transaction costs</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Registered Direct Offering, net of transaction costs</w:t>
            </w:r>
          </w:p>
        </w:tc>
        <w:tc>
          <w:tcPr>
            <w:tcW w:w="5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18,769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Underwritten Public Offering, net of transaction costs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84,908</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5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withholding taxes related to the net share settlement of equity awards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Public Warrants</w:t>
            </w:r>
          </w:p>
        </w:tc>
        <w:tc>
          <w:tcPr>
            <w:tcW w:w="5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2"/>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112,513</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37,455</w:t>
            </w:r>
          </w:p>
        </w:tc>
      </w:tr>
      <w:tr>
        <w:trPr>
          <w:trHeight w:val="38"/>
        </w:trPr>
        <w:tc>
          <w:tcPr>
            <w:tcW w:w="8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78,251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5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23,682</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24,603</w:t>
            </w: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102,092</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23,682</w:t>
            </w:r>
          </w:p>
        </w:tc>
      </w:tr>
      <w:tr>
        <w:trPr>
          <w:trHeight w:val="26"/>
        </w:trPr>
        <w:tc>
          <w:tcPr>
            <w:tcW w:w="8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January 25, 2022 (the “Closing Date”), Satellogic Inc. (“Satellogic” or the “Company”), a BVI business company incorporated in the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Nettar was, prior to the transaction, the holding company of the Satellogic group and was incorporated on October 7, 2014, under the laws of the BVI as a company limited by shares.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March 26, 2025, the Company completed its domestication, pursuant to which it domesticated as a corporation incorporated under the laws of the State of Delaware and discontinued as a business company with limited liability incorporated under the laws of the BVI (the “Domestication”). The Company’s principal executive office is located at 210 Delburg Street, Davidson, NC 28036.</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References to “Nettar” contained herein refer to Nettar Group Inc. prior to the mergers, and references to “the Company,” “we,” “our,” “us” or “Satellogic” refer to Satellogic Inc. prior to the mergers and to the combined company following the mergers.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as of December 31, 2025 and 2024 and for the years then ended (the “Consolidated Financial Statements”) have been prepared in accordance with generally accepted accounting principles in the United States (“U.S. GAAP”) and the rules and regulations of the U.S. Securities and Exchange Commission (“SEC”). The Company conducts business through one operating segment.</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those of our wholly owned subsidiaries. All intercompany accounts and transactions, including the intercompany portion of transactions with equity method investees, have been eliminated in consolidation. The Consolidated Financial Statements are presented in United States dollars (hereinafter “U.S. dollars” or “$”).</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These reclassifications had no effect on the reported results of operations, balance sheet or cash flows.</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and Liquidity</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the Company disclosed that certain events and conditions raised substantial doubt about its ability to continue as a going concern primarily due to recurring operating losses and limited liquidity.</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believes those events and conditions were resolved as a result of the $90 million underwritten public offering closed on October 17, 2025 and the $35 million registered direct offering closed on January 27,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the consolidated financial statements as of and for the year ended December 31, 2025 have been prepared without a going concern uncertainty.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liabilities at the date of the financial statements, and the reported amounts of revenue and expenses during the reporting period. Significant estimates and assumptions reflected in these Consolidated Financial Statements include, but are not limited to, revenue recognition; determination of useful lives of property and equipment; valuation of Secured Convertible Notes, warrant liabilities, earnout liabilities, stock options; and determination of income tax. We evaluate our estimates and assumptions on an ongoing basis. Actual results could differ from those estimates and such differences may be material to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recognize revenue 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 is recognized when a customer obtains control of promised goods or services. In addition, the standard requires disclosure of the nature, amount, timing, and uncertainty of revenue and cash flows arising from contracts with customers. The amount of revenue that is recorded reflects the consideration that we expect to receive in exchange for goods or services provided under such contracts.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main revenue stream is from services. We recognize as revenues the amount of the transaction price that is allocated to the respective performance obligation when or as the performance obligation is satisfied, either over time or a point in time. Revenue is recognized upon delivery for Data &amp; Analytics contracts in which performance obligations are satisfied at a point in time upon image delivery. The Company has determined that it provides a series of distinct services in which the customer simultaneously receives and consumes data, so therefore the Company recognizes revenue ratably over the subscription period. For Space Systems contracts, revenue is typically recognized at a point in time, upon delivery of equipment or in-orbit delivery of satellites.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our contracts does not currently give rise to variable consideration related to returns or refunds as those are not offered.</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evaluate contracts with a minimum purchase commitment to determine whether we expect to be entitled to a breakage amount. We consider the requirements on constraining estimates variable consideration. The following factors are evaluated when assessing the increased likelihood of a significant revenue reversal: (i) the amount of consideration is highly susceptible to factors outside our influence or control (e.g., volatility in a market, judgment of action of third parties,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weather conditions), (ii) uncertainty about the amount of consideration is not expected to be resolved for a long period of time, (iii) our experience with similar types of contracts is limited, or that experience has limited predictive value, (iv) we have a practice of either offering a broad range of price concessions or changing the payment terms and conditions of similar contracts in similar circumstances, and (v) the contract has a large number and broad range of possible consideration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exclude amounts collected on behalf of third parties, such as sales taxes, when determining transaction price.</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consist of payments received from customers, or such consideration that is contractually due, in advance of providing the product or performing services.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generally do not enter into long-term financing arrangements or payment plans with customers. Although our business practice is not to enter into contracts with non-cash consideration, at times this may occur. In these instances, we determine the fair value of the non-cash consideration at contract inception and includes this value as part of the total arrangement consideration. In instances where we cannot reasonably estimate the fair value of the non-cash consideration, we will measure the consideration indirectly by reference to its stand-alone selling price of the goods promised to the customer in exchange for consideration.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October 1, 2025, the Company elected to change its method of disclosing remaining performance obligations ("RPO"). Historically, the Company utilized the practical expedient available under ASC 606-10-50-14, which allowed for the exclusion of contracts with an original expected duration of one year or less.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elected to voluntarily terminate the use of this practical expedient to provide a more comprehensive view of its total contracted backlog and future revenue visibility. The adoption of this disclosure methodology resulted in an increase of $21.0 million to the reported RPO as of December 31, 2025. This change impacted disclosure only and had no effect on the Company’s consolidated balance sheets, statements of operations and comprehensive loss,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U.S. GAAP.</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Valuation techniques used to measure fair value require us to utilize observable and unobservable inputs. The hierarchy gives the highest priority to quoted prices in active markets for identical assets or liabilities (Level 1 measurements) and the lowest priority to unobservable inputs (Level 3 measurements). Financial instruments carried at fair value are to be classified and disclosed in one of the following three levels of the fair value hierarchy, of which the first two are considered observable and the last is considered unobservable:</w:t>
      </w:r>
    </w:p>
    <w:p>
      <w:pPr>
        <w:spacing w:after="0" w:line="176" w:lineRule="exact"/>
        <w:rPr>
          <w:sz w:val="20"/>
          <w:szCs w:val="20"/>
          <w:color w:val="auto"/>
        </w:rPr>
      </w:pPr>
    </w:p>
    <w:p>
      <w:pPr>
        <w:ind w:left="640" w:hanging="314"/>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18"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 techniques for which the lowest level input that is significant to the fair value measurement is directly or indirectly observable.</w:t>
      </w:r>
    </w:p>
    <w:p>
      <w:pPr>
        <w:spacing w:after="0" w:line="20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 techniques for which the lowest level input that is significant to the fair value measurement is unobservable.</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Consolidated Financial Statements are re-assessed at the end of each reporting period to determine whether any transfers have occurred between levels in the hierarchy.</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fair value disclosures, classes of assets and liabilities are based on the nature, characteristics and risks of the asset or liability and the level of the fair value hierarchy.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Management</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Credit risk is the risk that a counterparty fails to discharge an obligation to us. We are exposed to credit risk from financial assets including cash, cash equivalents and restricted cash held at banks, trade and other receivables.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risk in respect of cash balances held with banks and deposits with banks are managed via diversification of bank deposits and are only with major reputable financial institutions.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As our risk exposure is mainly influenced by the individual characteristics of each customer, we continuously analyze the creditworthiness of significant customers. Accounts receivable are non-interest bearing and generally on terms of 30 to 90 days. As of December 31, 2025, one customer accounted for 66% of accounts receivable, net of allowance. As of December 31, 2024, </w:t>
      </w:r>
      <w:r>
        <w:rPr>
          <w:rFonts w:ascii="Times New Roman" w:cs="Times New Roman" w:eastAsia="Times New Roman" w:hAnsi="Times New Roman"/>
          <w:sz w:val="15"/>
          <w:szCs w:val="15"/>
          <w:color w:val="auto"/>
        </w:rPr>
        <w:t>two</w:t>
      </w:r>
      <w:r>
        <w:rPr>
          <w:rFonts w:ascii="Times New Roman" w:cs="Times New Roman" w:eastAsia="Times New Roman" w:hAnsi="Times New Roman"/>
          <w:sz w:val="18"/>
          <w:szCs w:val="18"/>
          <w:color w:val="auto"/>
        </w:rPr>
        <w:t xml:space="preserve"> customers accounted for 70% of our accounts receivable net of allowance.</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had three customers that each accounted for more than 10% of our revenue totaling $9.6 million for the year ended December 31, 2025 and two customers </w:t>
      </w:r>
      <w:r>
        <w:rPr>
          <w:rFonts w:ascii="Times New Roman" w:cs="Times New Roman" w:eastAsia="Times New Roman" w:hAnsi="Times New Roman"/>
          <w:sz w:val="15"/>
          <w:szCs w:val="15"/>
          <w:color w:val="auto"/>
        </w:rPr>
        <w:t>that each</w:t>
      </w:r>
      <w:r>
        <w:rPr>
          <w:rFonts w:ascii="Times New Roman" w:cs="Times New Roman" w:eastAsia="Times New Roman" w:hAnsi="Times New Roman"/>
          <w:sz w:val="18"/>
          <w:szCs w:val="18"/>
          <w:color w:val="auto"/>
        </w:rPr>
        <w:t xml:space="preserve"> accounted for more than 10% of our revenue totaling $7.0 million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December 31, 2025 and 2024 due to our net loss for those years and concluded that the asset group is not impaired.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Consolidated Statements of Operations and Comprehensive Loss.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account for our equity investment in which we have significant influence, but not a controlling financial interest, using the equity method of accounting. Under the equity method of accounting, investments are initially recorded at cost, less impairment, and subsequently adjusted to recognize our share of earnings or losses as a component of Other income (expense), net in the Consolidated Statements of Operations and Comprehensive Loss. Our equity method investment is required to be reviewed for impairment when it is determined there may be an other-than-temporary loss in value. We have not recorded any impairment losses related to our equity method investment during the two-year period ended December 31,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measure and recognize all stock-based compensation expense based on estimated fair values for all stock-based awards made to employees and non-employees using a graded vesting schedule. Compensation cost is recognized over the requisite service period for each separate tranche, as though each tranche of the award is, in substance, a separate award. The expense calculation includes estimated forfeiture rates, which have been developed based upon historical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for stock options are calculated using the Black-Scholes option pricing model using the following inputs: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simplified method is used to calculate the expected term.</w:t>
      </w:r>
    </w:p>
    <w:p>
      <w:pPr>
        <w:spacing w:after="0" w:line="232"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We determine the expected stock price volatility based on the historical volatilities of guideline companies from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w:t>
      </w:r>
    </w:p>
    <w:p>
      <w:pPr>
        <w:spacing w:after="0" w:line="173" w:lineRule="exact"/>
        <w:rPr>
          <w:sz w:val="20"/>
          <w:szCs w:val="20"/>
          <w:color w:val="auto"/>
        </w:rPr>
      </w:pPr>
    </w:p>
    <w:p>
      <w:pPr>
        <w:ind w:left="6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We do not use a dividend rate due to the fact that we have never declared or paid cash dividends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we do not anticipate doing so in the foreseeable future.</w:t>
      </w:r>
    </w:p>
    <w:p>
      <w:pPr>
        <w:spacing w:after="0" w:line="200" w:lineRule="exact"/>
        <w:rPr>
          <w:sz w:val="20"/>
          <w:szCs w:val="20"/>
          <w:color w:val="auto"/>
        </w:rPr>
      </w:pPr>
    </w:p>
    <w:p>
      <w:pPr>
        <w:ind w:left="6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We base our interest rate on a treasury instrument for which the term is commensurate with the maximum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8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fair values for restricted stock units ("RSUs") with service-based vesting conditions are calculated based upon our closing stock price on the date of the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financial position and results of operations of certain of our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Consolidated Statements of Operations and Comprehensive Loss (included in other income (expense), net) and resulted in losses of $0.5 million and gains of $2.4 million during the years ended December 31,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determine if a contract is a lease or contains a lease at inception. On the lease commencement date, we recognize a right-of-use (“ROU”) asset and lease liability related to operating type leases. The cost of ROU assets includes the amount of lease liabilities recognized, initial direct costs incurred, and lease payments made at or before the commencement date less any lease incentives received. Operating lease liabilities are recorded based on the present value of the future lease fixed payments. In determining the present value of future lease payments, we use our incremental borrowing rate applicable to the economic environment and the duration of the lease based on the information available at the commencement date as the majority of leases do not provide an implicit rate. For real estate and equipment contracts, we generally account for the lease and non-lease components as a single lease component. In assessing the lease term, we include options to renew only when we are reasonably certain that such option(s) will be exercised; a determination which is at our sole discretion. Variable lease payments are recognized as expenses in the period incurred. For leases with an initial term of 12 months or less, we have elected to not record an ROU asset and lease liability. We record lease expense on a straight-line basis over the shorter of the lease term and the estimated useful lives of the assets, beginning on the commencement date.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remeasure and reallocate the consideration in a lease when there is a modification of the lease that is not accounted for as a separate contract. The lease liability is remeasured when there is a change in the lease term or in the assessment of whether we will exercise a lease option. We assess ROU assets for impairment in accordance with our long-lived asset impairment policy.</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account for lease agreements with contractually required lease and non-lease components on a combined basis. Lease payments made for cancellable leases, variable amounts that are not based on an observable index and lease agreements with an original duration of less than 12 months are recorded directly to lease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presented, we do not have any financing type leases.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Trade accounts receivable are stated at the amount owed by the customer, net of allowances for estimated credit losses, discounts, returns and rebates. We measure the allowance for credit losses based on the estimated loss. In calculating an allowance for credit losses, we use our historical experience, external indicators, forward-looking information and an aging method. Generally, we assess collectability of trade accounts receivable on a collective basis as they possess shared credit risk characteristics which have been grouped based on the days past due. For certain customers that have a large percentage of our total accounts receivable, we analyze them on a specific basis to determine expected collectability.</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elected the practical expedient in paragraphs 326-20- 30-10C through 30-10D to estimate expected credit losses related to our current accounts receivable. The practical expedient allows us to assume that current conditions as of the balance sheet date do not change for the remaining life of the assets. We have determined that the current conditions as of the balance sheet date are consistent with those conditions that existed during the period that the historical data were collected. Accordingly, we determined that no adjustment to our historical loss information was necessary.</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Accounts are written off against the allowance account when they are determined to be no longer collectible. The following table shows the activity in the allowance for credit losses for the years ended December 31, 2025 and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beginning of period</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(Release) Provision</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Write-offs</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Recoveries collected</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end of period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17"/>
          <w:szCs w:val="17"/>
          <w:i w:val="1"/>
          <w:iCs w:val="1"/>
          <w:color w:val="auto"/>
        </w:rPr>
        <w:t>nventories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Inventories consist of satellites and satellites under construction that were previously classified as Property and equipment and have been reclassified to Inventories at their carrying amounts upon a change in intended use from internal operations to sale in the ordinary course of business to customers with a specified contract.</w:t>
      </w:r>
    </w:p>
    <w:p>
      <w:pPr>
        <w:spacing w:after="0" w:line="19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Satellites and satellites under construction, prior to the transfer of control to a customer are classified as work in process (“WIP”). As of December 31, 2025, the Company had $2.1 million of work in process inventories. As of December 31, 2024, the Company did not have any inventories.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WIP primarily represents (a) amounts paid to third party vendors of satellite components, (b) internal labor costs incurred to develop and integrate the</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Company's satellites, including salaries and allocations of other related costs and (c) launch service vendors for the costs associated with launching the Company's satellites, which includes launch and launch insurance costs.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the specific identification method to determine the cost of each satellite. Inventories are stated on a consistent basis at the lower of historical cost or net realizable value. Net realizable value is determined as the estimated selling price in the ordinary course of business, less reasonably predictable costs of completion, disposal, and transportation.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Cash and cash equivalents include deposits in banks and short-term (original maturities of three months or less at the time of purchase), highly liquid investments that are readily convertible to known amounts of cash with a maturity of three months or less at the time of purchase.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Restricted cash, including amounts in Other non-current assets, represents amounts pledged as guarantees for sales and lease agreements as contractually required.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94,430</w:t>
            </w:r>
          </w:p>
        </w:tc>
        <w:tc>
          <w:tcPr>
            <w:tcW w:w="8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22,493</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102,092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23,682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8"/>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net of refunds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3,323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95"/>
        </w:trPr>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r>
      <w:tr>
        <w:trPr>
          <w:trHeight w:val="38"/>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property and equipment included in accounts payable December 31</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reclassification from property and equipment to inventory for capitalized costs paid in a prior period.</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costs are expensed in the period in which they are incurred. R&amp;D costs include materials and equipment that have no alternative future use, depreciation on equipment and facilities currently used for R&amp;D purposes, personnel costs, contract services and reasonable allocations of indirect costs, if clearly related to an R&amp;D activity. Expenditures in the pre-production phase of an R&amp;D project are recorded as R&amp;D expense. Research and development expenses for the years ended December 31, 2025 and 2024 were $5.0 million and $7.5 million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respectively and are included within Engineering costs on the Consolidated Statement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Collected from Customers</w:t>
      </w:r>
    </w:p>
    <w:p>
      <w:pPr>
        <w:spacing w:after="0" w:line="2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which are collected by the Company from customers, are excluded from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Updates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22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740)—Improvements to Income Tax Disclosures, which requires (1) greater disaggregation and consistent categories of information in the rate reconciliation and (2) income taxes paid disaggregated by jurisdiction. This ASU also includes other amendments to align disclosures with Regulation S-X and remove non-beneficial disclosures. The guidance is effective for public entities for annual periods beginning after December 15, 2024. The Company has applied this guidance prospectively when preparing its related disclosures. See Note 11 (Income Taxes) for the Company’s updated tax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4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(Topic 326): Measurement of Credit Losses for Accounts Receivable and Contract Assets, which provides a practical expedient that allows an entity to assume that current economic conditions at the balance sheet date will remain unchanged for the remaining life of the asset when measuring expected credit losses (“ECL”) on accounts receivable and certain contract assets recognized under Topic</w:t>
      </w:r>
    </w:p>
    <w:p>
      <w:pPr>
        <w:spacing w:after="0" w:line="1" w:lineRule="exact"/>
        <w:rPr>
          <w:sz w:val="20"/>
          <w:szCs w:val="20"/>
          <w:color w:val="auto"/>
        </w:rPr>
      </w:pPr>
    </w:p>
    <w:p>
      <w:pPr>
        <w:jc w:val="both"/>
        <w:ind w:firstLine="6"/>
        <w:spacing w:after="0" w:line="227" w:lineRule="auto"/>
        <w:tabs>
          <w:tab w:leader="none" w:pos="3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expedient is intended to reduce complexity for short-duration trade receivables. An entity electing this expedient is required to disclose that election. The amendments are effective for all entities for annual reporting periods beginning after December 15, 2025, including interim periods within those annual periods. Early adoption is permitted. The Company has accounts receivable balances evaluated under Topic 326 and has elected early implementation for the year ended December 31, 2025. See Note 2 (Summary of Significant Accounting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 amended by ASU No. 2025-01, Income Statement – Reporting Comprehensive Income – Expense Disaggregation Disclosures (Subtopic 220-40): clarifying the Effective Date, which requires a new footnote disclosure for public entities to disaggregate, in a tabular format, certain relevant expense captions on the face of the income statement (e.g., cost of sales, SG&amp;A) that include any of the following natural expenses: purchases of inventory, employee compensation, depreciation, intangible asset amortization, and certain depletion expenses. The guidance is effective for annual periods beginning after December 15, 2026, and interim periods within annual periods beginning after December 15, 2027. The Company is currently evaluating the guidance to determine the effect on the Company’s disclosures.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212529"/>
        </w:rPr>
        <w:t xml:space="preserve">In November 2024, the FASB issued ASU 2024-04, </w:t>
      </w:r>
      <w:r>
        <w:rPr>
          <w:rFonts w:ascii="Times New Roman" w:cs="Times New Roman" w:eastAsia="Times New Roman" w:hAnsi="Times New Roman"/>
          <w:sz w:val="17"/>
          <w:szCs w:val="17"/>
          <w:color w:val="000000"/>
        </w:rPr>
        <w:t>Debt – Debt with Conversion and Other Options (Subtopic 470-20), which provides guidance on</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applying induced conversion or extinguishment accounting to certain settlements of convertible debt that do not occur in accordance with the instrument’s preexisting terms. The ASU requires a preexisting contract approach and clarifies how to assess the form and amount of consideration for induced conversion accounting. The guidance is effective for annual periods beginning after December 15, 2025, including interim periods within those annual periods. Early adoption is permitted. The Company is currently evaluating the impact of this new guidance on its consolidated financial statements and related disclosures.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amends the guidance for capitalizing costs related to internal-use software. The ASU removes the prescriptive, sequential project stages (preliminary project stage, application development stage, and post-implementation/operation stage) and replaces them with a "probable-to-complete recognition threshold." The ASU also clarifies that the disclosure requirements for Property, Plant, and Equipment (Topic 360) apply to all capitalized internal-use software costs, and the specific intangibles disclosures in Topic 350 are not required. The amendments are effective for public business entities for annual reporting periods beginning after December 15, 2026, including interim periods within those annual periods, with earlier adoption permitted. The Company is currently evaluating the effect of the guidance on its consolidated financial statements and related disclosures.</w:t>
      </w:r>
    </w:p>
    <w:p>
      <w:pPr>
        <w:spacing w:after="0" w:line="19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(Topic 815) and Revenue from Contracts with Customers (Topic 606): Clarifying the Scope of Derivatives and Noncash Consideration Received from a Customer. This ASU provides clarification in two main areas: (1) it creates a scope exception within Topic 815 for contracts with underlyings based on operational variables specific to one of the contracting parties (e.g., sales, earnings measures, or production volumes), and (2) it clarifies that the guidance in Topic 606 must be applied before the derivative or equity accounting guidance for share-based noncash consideration received from a customer. The amendments are effective for public business entities for fiscal years beginning after December 15, 2026, including interim periods within those fiscal years. Early adoption is permitted. The Company evaluated the impact of the new guidance on its consolidated financial statements and given the limited and infrequent use of derivatives, we determined that this guidance will not have a material impact on our consolidated financial statements or disclosures.</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which centralizes interim disclosure requirements and codifies a "disclosure principle" requiring an explanation of material changes occurring since the most recent annual period. As the Company currently adheres to similar requirements under SEC Regulation S-X Rule 8-03, the adoption of this guidance is not expected to significantly change current interim reporting practices. The amendments are effective for the Company for interim periods within fiscal years beginning after December 15, 2027, with early adoption permitted. The Company expects to adopt this guidance prospectively and does not anticipate that the adoption will have a material impact on its consolidated financial statements or disclosures.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Recapitalization</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25, 2022, and pursuant to the Merger Agreement, the merger between the Company and CF V (the “Merger”) was accounted for as a reverse recapitalization (the “Reverse Recapitalization”) in accordance with U.S. GAAP. Under this method of accounting, CF V was treated as the “acquired” company and Satellogic was treated as the acquirer for financial reporting purposes. Accordingly, for accounting purposes, the reverse recapitalization was treated as the equivalent of the Company issuing stock for the net assets of CF V, accompanied by a recapitalization. The net assets of CF V were stated at historical cost, with no goodwill or other intangible assets recorded. Operations prior to the Merger represent those of the Company.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transaction resulted in net cash proceeds of $168 million, after transaction expenses and debt repayment, through the contribution of cash held in CF V’s trust account, net of redemptions by CF V’s public stockholders, and a concurrent private placement offering led by SoftBank’s SBLA Advisers Corp. and CF&amp;Co., among other institutional investors, and the Liberty Investment, as defined and described further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the Company consummated the Merger contemplated by the Merger Agreement, including the following: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Investment (“2022 PIPE”)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relevant subscription agreement, Satellogic issued 5,816,770 shares of Class A common stock and a non-redeemable warrant (“PIPE Warrant”) to purchase 2,500,000 shares of Class A common stock to a PIPE investor at an exercise price of $20.00 per share, for an aggregate purchase price of $58.2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July 2021, CFAC Holdings V, LLC (the “Sponsor”), CF V, and Satellogic entered into the Amended and Restated Forward Purchase Agreement (“FPA”), pursuant to which Satellogic issued to the Sponsor 1,250,000 shares of Class A common stock, and warrants to purchase an additional 333,333 shares of Class A common stock at an exercise price of $11.50 per share (“Forward Purchase Warrant”), for an aggregate purchase price of $10.0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Investment</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January 18, 2022, Satellogic and CF V entered into the Liberty Subscription Agreement with an investor (the “Liberty Investor”). Satellogic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“Liberty Closing” and the transaction collectively, the “Liberty Investment”).</w:t>
      </w:r>
    </w:p>
    <w:p>
      <w:pPr>
        <w:spacing w:after="0" w:line="2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 advisory fee is payable by Satellogic in exchange for advisory services to be provided to Satellogic from time to time until a Cessation Event (as defined in the Liberty Subscription Agreement). The advisory fee includes a warrant to purchase 2,500,000 of Satellogic’s Class A ordinary shares at an exercise price of $10.00 per share (the “Liberty Advisory Fee Warrant”), which was issued at the Liberty Closing, and for so long as a Cessation Event has not occurred, $1.25 million to be paid in cash on the 18-month anniversary of the Liberty Closing and on the last day (or, if not a business day, the immediately following business day) of each of the following five successive three-month anniversaries of such 18-month anniversary (each, an “Advisory Fee Cash Payment” and together, the “Advisory Fee Cash Payments”), representing an aggregate of up to $7.5 million in Advisory Fee Cash Payments. The Advisory Fee Cash Payment was made in 2025 and the $7.5 million owed to the Liberty Investor for the Advisory Fee Cash Payments at December 31, 2024 was included in accrued expenses and other liabilities on the Consolidated Balance Sheet.</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Liberty Advisory Fee Warrant became exercisable as of and from February 10, 2023, and will expire on the fifth anniversary of the Liberty Closing (i.e., February 10, 2027). The Liberty Advisory Fee Warrant is subject to substantially the same terms as the Liberty Warrants.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Columbia Warrant</w:t>
      </w:r>
    </w:p>
    <w:p>
      <w:pPr>
        <w:spacing w:after="0" w:line="23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7"/>
          <w:szCs w:val="17"/>
          <w:color w:val="auto"/>
        </w:rPr>
        <w:t>In March 2021, we issued a warrant to purchase up to 15,931,360 shares of our common stock (“Columbia Warrant”) at a weighted average exercise price of $2.52 per share, or an aggregate of $40.1 million, in connection with a loan agreement between us and Columbia River Investment Limited (“Columbia”).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Columbia Warrant is exercisable the earlier of 25 years from the effective date or the date in which the warrant is exercised in full.</w:t>
      </w:r>
    </w:p>
    <w:p>
      <w:pPr>
        <w:spacing w:after="0" w:line="23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Columbia Warrant was initially recognized on March 8, 2021 as a liability with a fair value of $161.2 million. In 2022, the fair value of the Columbia Warrant of $124.8 million was reclassified to additional paid-in capital in connection with the Merger.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2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(loss) income to assess the performance of the Company’s operating segment and evaluates the Company’s results against forecasted results.</w:t>
      </w:r>
    </w:p>
    <w:p>
      <w:pPr>
        <w:spacing w:after="0" w:line="2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operating segment derives its revenues from the sale of images via Data &amp; Analytics including Constellation as a Service (“CaaS”) and the sale or licensing of satellites via the Company’s Space Systems product line. The Company evaluates its operations based on net (loss) income. Required segment disclosures that are equal to the Company’s consolidated totals and disclosed elsewhere in the financial statements include: net (loss), total assets, total revenue, interest income, interest (expense), depreciation expense, equity in net income (loss) of affiliate, income tax (expense), and equity in net income of affiliates accounted for by the equity method. In addition to depreciation expense other non-cash expenses include stock-based compensation disclosed on the statement of cash flows and a non-cash sales agreement described in Note 6 (Revenue from Contracts with Customers). Total purchases of long lived assets include purchases of property and equipment disclosed in the statement of cash flows and the acquisition of operating lease right of use assets disclosed in Note 18 (Leases).</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Other segment items are primarily made up of the following items not considered to be significant expenses: depreciation expense, change in fair value of financial instruments, income tax (expense), interest and financing costs, partially offset by foreign currency income adjustments and 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Company’s segment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00" w:type="dxa"/>
            <w:vAlign w:val="bottom"/>
            <w:tcBorders>
              <w:bottom w:val="single" w:sz="8" w:color="auto"/>
            </w:tcBorders>
          </w:tcPr>
          <w:p>
            <w:pPr>
              <w:spacing w:after="0"/>
              <w:rPr>
                <w:sz w:val="18"/>
                <w:szCs w:val="18"/>
                <w:color w:val="auto"/>
              </w:rPr>
            </w:pPr>
          </w:p>
        </w:tc>
      </w:tr>
      <w:tr>
        <w:trPr>
          <w:trHeight w:val="208"/>
        </w:trPr>
        <w:tc>
          <w:tcPr>
            <w:tcW w:w="63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80" w:type="dxa"/>
            <w:vAlign w:val="bottom"/>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12,870</w:t>
            </w:r>
          </w:p>
        </w:tc>
      </w:tr>
      <w:tr>
        <w:trPr>
          <w:trHeight w:val="21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excluding depreciation</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Engineering</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(14,405)</w:t>
            </w:r>
          </w:p>
        </w:tc>
      </w:tr>
      <w:tr>
        <w:trPr>
          <w:trHeight w:val="21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(32,992)</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(76,721)</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(116,272)</w:t>
            </w:r>
          </w:p>
        </w:tc>
      </w:tr>
      <w:tr>
        <w:trPr>
          <w:trHeight w:val="20"/>
        </w:trPr>
        <w:tc>
          <w:tcPr>
            <w:tcW w:w="6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is as follows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4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8"/>
                <w:szCs w:val="18"/>
                <w:color w:val="auto"/>
              </w:rPr>
            </w:pPr>
          </w:p>
        </w:tc>
      </w:tr>
      <w:tr>
        <w:trPr>
          <w:trHeight w:val="208"/>
        </w:trPr>
        <w:tc>
          <w:tcPr>
            <w:tcW w:w="66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34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w:t>
            </w: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Albania</w:t>
            </w:r>
          </w:p>
        </w:tc>
        <w:tc>
          <w:tcPr>
            <w:tcW w:w="1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1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12,870</w:t>
            </w:r>
          </w:p>
        </w:tc>
      </w:tr>
      <w:tr>
        <w:trPr>
          <w:trHeight w:val="20"/>
        </w:trPr>
        <w:tc>
          <w:tcPr>
            <w:tcW w:w="6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4"/>
        <w:spacing w:after="0"/>
        <w:tabs>
          <w:tab w:leader="none" w:pos="160"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Revenues are attributed to individual countries based on the location of the customer generating the revenue.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from Contracts with Customers</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the year ended December 31, 2025, we recognized revenue of $17.7 million, of which $3.9 million was recognized over time and $13.8 million was recognized at a point in time. During the year ended December 31, 2024, we recognized revenue of $12.9 million, of which $3.1 million was recognized over time and $9.8 million was recognized at a point in time.</w:t>
      </w:r>
    </w:p>
    <w:p>
      <w:pPr>
        <w:jc w:val="both"/>
        <w:spacing w:after="0" w:line="234" w:lineRule="auto"/>
        <w:rPr>
          <w:sz w:val="20"/>
          <w:szCs w:val="20"/>
          <w:color w:val="auto"/>
        </w:rPr>
      </w:pPr>
      <w:r>
        <w:rPr>
          <w:rFonts w:ascii="Times New Roman" w:cs="Times New Roman" w:eastAsia="Times New Roman" w:hAnsi="Times New Roman"/>
          <w:sz w:val="18"/>
          <w:szCs w:val="18"/>
          <w:color w:val="auto"/>
        </w:rPr>
        <w:t>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We recognized $4.4 million of revenue from this customer during the year ended December 31, 2025. We recognized $5.3 million of revenue from this customer during the year ended December 31,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business line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business line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&amp; Analytics including CaaS</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15,996</w:t>
            </w:r>
          </w:p>
        </w:tc>
        <w:tc>
          <w:tcPr>
            <w:tcW w:w="80" w:type="dxa"/>
            <w:vAlign w:val="bottom"/>
          </w:tcPr>
          <w:p>
            <w:pPr>
              <w:spacing w:after="0"/>
              <w:rPr>
                <w:sz w:val="20"/>
                <w:szCs w:val="20"/>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11,113</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Space Systems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17,707</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12,870</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timing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timing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 time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80" w:type="dxa"/>
            <w:vAlign w:val="bottom"/>
          </w:tcPr>
          <w:p>
            <w:pPr>
              <w:spacing w:after="0"/>
              <w:rPr>
                <w:sz w:val="20"/>
                <w:szCs w:val="20"/>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Point-in time</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13,795</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17,707</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12,870</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geography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0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0"/>
                <w:szCs w:val="20"/>
                <w:b w:val="1"/>
                <w:bCs w:val="1"/>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920" w:type="dxa"/>
            <w:vAlign w:val="bottom"/>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80" w:type="dxa"/>
            <w:vAlign w:val="bottom"/>
          </w:tcPr>
          <w:p>
            <w:pPr>
              <w:spacing w:after="0"/>
              <w:rPr>
                <w:sz w:val="20"/>
                <w:szCs w:val="20"/>
                <w:color w:val="auto"/>
              </w:rPr>
            </w:pP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&amp; Asia Pacific</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17,707</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12,870</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 by geography is based on the geographical location of the customer.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Remaining Performance Obligations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contract liabilities consist of payments received from customers, or such consideration contractually due, in advance of providing the relevant product or service. Amounts included in Contract liabilities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r>
      <w:tr>
        <w:trPr>
          <w:trHeight w:val="21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14,609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2025, we recognized revenue of $3.1 million that was included as a Contract liability as of December 31, 2024. During the year ended December 31, 2024, we recognized revenue of $3.4 million that was included as a Contract liability as of December 31, 2023. The increase in contract liabilities as of December 31, 2025 primarily reflects upfront consideration received from three customers for which the associated performance obligations are expected to be satisfied over the next 12 to 24 months. Total unused credits related to the non-cash agreement described above included in</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contract liabilities at December 31, 2025, and December 31, 2024 were $1.1 million and $1.4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Unused credits expire one year after issuance. There were no credits that expired in the years ended December 31, 2025 or 2024.</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As discussed in Note 2 Summary of Significant Accounting Policies, the Company changed its disclosure methodology in 2025 to include contracts in its calculation of RPO that have an original duration of one year or less. As of December 31, 2025, the total RPO was $65.1 million. Excluding the impact of this methodology change, remaining performance obligations would have been $44.1 million.</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represents the total transaction price for the remaining performance obligations as of December 31, 2025 related to noncancellable contracts that is expected to be recognized over future periods.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1-2</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260" w:type="dxa"/>
            <w:vAlign w:val="bottom"/>
          </w:tcPr>
          <w:p>
            <w:pPr>
              <w:spacing w:after="0"/>
              <w:rPr>
                <w:sz w:val="16"/>
                <w:szCs w:val="16"/>
                <w:color w:val="auto"/>
              </w:rPr>
            </w:pPr>
          </w:p>
        </w:tc>
        <w:tc>
          <w:tcPr>
            <w:tcW w:w="12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5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8,017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Liberty Warrants and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 Warrant</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15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Liberty Advisory Fee</w:t>
            </w: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200" w:type="dxa"/>
            <w:vAlign w:val="bottom"/>
          </w:tcPr>
          <w:p>
            <w:pPr>
              <w:spacing w:after="0"/>
              <w:rPr>
                <w:sz w:val="12"/>
                <w:szCs w:val="12"/>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$8.63 Warrants</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37"/>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2024</w:t>
            </w:r>
          </w:p>
        </w:tc>
        <w:tc>
          <w:tcPr>
            <w:tcW w:w="30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471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782"/>
              <w:spacing w:after="0"/>
              <w:rPr>
                <w:sz w:val="20"/>
                <w:szCs w:val="20"/>
                <w:color w:val="auto"/>
              </w:rPr>
            </w:pPr>
            <w:r>
              <w:rPr>
                <w:rFonts w:ascii="Times New Roman" w:cs="Times New Roman" w:eastAsia="Times New Roman" w:hAnsi="Times New Roman"/>
                <w:sz w:val="16"/>
                <w:szCs w:val="16"/>
                <w:color w:val="auto"/>
                <w:w w:val="97"/>
              </w:rPr>
              <w:t>(285)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186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Warrants and Liberty Advisory Fee Warrant</w:t>
      </w:r>
    </w:p>
    <w:p>
      <w:pPr>
        <w:spacing w:after="0" w:line="22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In 2022, the Liberty Warrants and the Liberty Advisory Fee Warrant were initially recognized as a liability with a fair value of $30.9 million. The Liberty Warrants and the Liberty Advisory Fee Warrant remain unexercised and were remeasured to a fair value of $3.5 million as of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w:t>
      </w:r>
    </w:p>
    <w:p>
      <w:pPr>
        <w:spacing w:after="0" w:line="2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2022, the PIPE Warrant was initially recognized as a liability with a fair value of $1.3 million. The PIPE Warrant remains unexercised and was remeasured to fair value of $0.2 million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$8.63 Warrants</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connection with the Merger, we entered into the PIPE Warrant Agreement on January 25, 2022, with the Sponsor and CF V, which amended the Public Warrant Agreement, dated January 28, 2021.</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Existing Warrant Agreement, we issued Public Warrants to purchase 8,333,333 shares of Class A common stock and 200,000 private placement Warrants. Additionally, we agreed to issue the Forward Purchase Warrant to purchase 333,333 shares of Class A common stock pursuant to the Amended and Restated Forward Purchase Agreement (together, with the Public Warrants and the private placement Warrants, the “$8.63 Warrants”).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All of the $8.63 Warrants are governed by the Existing Warrant Agreement. The $8.63 Warrants became exercisable 30 days after the Closing Date, or February 25, 2022, and will expire five years after the Closing Date (January 25, 2027), or earlier upon redemption or liquidation.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$8.63 Warrants were initially recognized as a liability with a fair value of $4.9 million. On April 1, 2022, we determined pursuant to a warrant agreement executed by CF V on January 28, 2021, as modified and assumed by an assignment and assumption agreement executed on January 25, 2022, that the warrant price with respect to the warrants issued and outstanding was adjusted from $11.50 to $8.63 and the redemption price was adjusted from $18.00 to $13.50. There were 8,253,455 $8.63 Warrants outstanding, which had a fair value of $2.1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Earnout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0" w:type="dxa"/>
            <w:vAlign w:val="bottom"/>
          </w:tcPr>
          <w:p>
            <w:pPr>
              <w:spacing w:after="0"/>
              <w:rPr>
                <w:sz w:val="1"/>
                <w:szCs w:val="1"/>
                <w:color w:val="auto"/>
              </w:rPr>
            </w:pPr>
          </w:p>
        </w:tc>
      </w:tr>
      <w:tr>
        <w:trPr>
          <w:trHeight w:val="25"/>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976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that certain Sponsor Support Agreement, dated as of July 5, 2021, by and among us, the Sponsor and Nettar, the Sponsor has agreed that during the period between the Closing and the five-year anniversary of the Closing, the Sponsor shall not sell, transfer or otherwise dispose of Class A common stock equal to 1,869,000 less 30% of Forfeiture Escrow Shares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year ended December 31, 2025. As a result, the sponsor earnout of 1,775,962 shares of Class A common stock were not vested and are subject to transfer restrictions and contingent forfeiture provisions.</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estimated fair value of the Sponsor Earnout liability is based on a Monte Carlo simulation valuation model using a distribution of potential outcomes on a semi-annual basis over the earnout period, using the most reliable information available. Assumptions used in the valuation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780" w:type="dxa"/>
            <w:vAlign w:val="bottom"/>
          </w:tcPr>
          <w:p>
            <w:pPr>
              <w:spacing w:after="0"/>
              <w:rPr>
                <w:sz w:val="19"/>
                <w:szCs w:val="19"/>
                <w:color w:val="auto"/>
              </w:rPr>
            </w:pPr>
          </w:p>
        </w:tc>
        <w:tc>
          <w:tcPr>
            <w:tcW w:w="162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162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 (%)</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4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number of shares</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1,775,962</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1,775,962</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340" w:type="dxa"/>
            <w:vAlign w:val="bottom"/>
          </w:tcPr>
          <w:p>
            <w:pPr>
              <w:spacing w:after="0"/>
              <w:rPr>
                <w:sz w:val="16"/>
                <w:szCs w:val="16"/>
                <w:color w:val="auto"/>
              </w:rPr>
            </w:pP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Satellites and other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32,099</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Satellites under construction</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c>
          <w:tcPr>
            <w:tcW w:w="34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14,813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4,229</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54,390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(25,106)</w:t>
            </w:r>
          </w:p>
        </w:tc>
        <w:tc>
          <w:tcPr>
            <w:tcW w:w="0" w:type="dxa"/>
            <w:vAlign w:val="bottom"/>
          </w:tcPr>
          <w:p>
            <w:pPr>
              <w:spacing w:after="0"/>
              <w:rPr>
                <w:sz w:val="1"/>
                <w:szCs w:val="1"/>
                <w:color w:val="auto"/>
              </w:rPr>
            </w:pPr>
          </w:p>
        </w:tc>
      </w:tr>
      <w:tr>
        <w:trPr>
          <w:trHeight w:val="26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24,650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27,228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depreciation are based on estimated useful lives of the assets using the straight-line method.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our property and equipment and operating lease ROU assets by geography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26,833</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c>
          <w:tcPr>
            <w:tcW w:w="9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4"/>
        </w:trPr>
        <w:tc>
          <w:tcPr>
            <w:tcW w:w="8200" w:type="dxa"/>
            <w:vAlign w:val="bottom"/>
            <w:tcBorders>
              <w:bottom w:val="single" w:sz="8" w:color="CCEEFF"/>
            </w:tcBorders>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0"/>
                <w:szCs w:val="20"/>
                <w:b w:val="1"/>
                <w:bCs w:val="1"/>
                <w:color w:val="auto"/>
                <w:vertAlign w:val="superscript"/>
              </w:rPr>
              <w:t>(1)</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31,698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28,105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hanging="314"/>
        <w:spacing w:after="0" w:line="222" w:lineRule="auto"/>
        <w:tabs>
          <w:tab w:leader="none" w:pos="30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presentation in the table above is based on the geographic location of the entity that holds the assets. Totals for property and equipment and operating lease ROU assets in the U.S. are not material.</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2024, the Company wrote off $3.6 million of net leasehold improvements as a result of its Netherlands Lease termination (see Note 18 (Leases)) and recorded a non-cash loss of $3.6 million. The loss on disposal of property and equipment was recognized as a component of other expense (income) in the Consolidated Statements of Operations and Comprehensive Loss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Additional Financial Statement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Officina Stellare S.p.A ("OS") Warrants</w:t>
            </w: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to suppliers</w:t>
            </w:r>
          </w:p>
        </w:tc>
        <w:tc>
          <w:tcPr>
            <w:tcW w:w="960" w:type="dxa"/>
            <w:vAlign w:val="bottom"/>
          </w:tcPr>
          <w:p>
            <w:pPr>
              <w:spacing w:after="0"/>
              <w:rPr>
                <w:sz w:val="20"/>
                <w:szCs w:val="20"/>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2,699</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and benefits payable</w:t>
            </w:r>
          </w:p>
        </w:tc>
        <w:tc>
          <w:tcPr>
            <w:tcW w:w="960" w:type="dxa"/>
            <w:vAlign w:val="bottom"/>
          </w:tcPr>
          <w:p>
            <w:pPr>
              <w:spacing w:after="0"/>
              <w:rPr>
                <w:sz w:val="20"/>
                <w:szCs w:val="20"/>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Advisory fee cash payment</w:t>
            </w: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taxes payable</w:t>
            </w:r>
          </w:p>
        </w:tc>
        <w:tc>
          <w:tcPr>
            <w:tcW w:w="960" w:type="dxa"/>
            <w:vAlign w:val="bottom"/>
          </w:tcPr>
          <w:p>
            <w:pPr>
              <w:spacing w:after="0"/>
              <w:rPr>
                <w:sz w:val="20"/>
                <w:szCs w:val="20"/>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3,981</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12,137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8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1,918</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2,063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0"/>
                <w:szCs w:val="20"/>
                <w:color w:val="auto"/>
                <w:vertAlign w:val="superscript"/>
              </w:rPr>
              <w:t>(1)</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1,579</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200" w:hanging="194"/>
        <w:spacing w:after="0"/>
        <w:tabs>
          <w:tab w:leader="none" w:pos="20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Excludes interest on the Company’s Secured Convertible Notes, which is included in Change in Fair Value of Financial Instruments.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26, 2025, we were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 are conducted or in which our subsidiaries are considered resident for corporate income tax purposes, including Argentina, China (sold in 2025), Israel, the Netherlands (liquidated in 2025), Spain, Uruguay, and the United States.</w:t>
      </w:r>
    </w:p>
    <w:p>
      <w:pPr>
        <w:spacing w:after="0" w:line="20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Our loss from continuing operations before income taxes as shown in the Consolidated Statements of Operations and Comprehensive Loss consists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04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(22,276)</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(12,280)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(91,138)</w:t>
            </w:r>
          </w:p>
        </w:tc>
        <w:tc>
          <w:tcPr>
            <w:tcW w:w="0" w:type="dxa"/>
            <w:vAlign w:val="bottom"/>
          </w:tcPr>
          <w:p>
            <w:pPr>
              <w:spacing w:after="0"/>
              <w:rPr>
                <w:sz w:val="1"/>
                <w:szCs w:val="1"/>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before income tax</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(113,414)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Our provision for income tax for the years ended December 31, 2025 and 2024 is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200" w:type="dxa"/>
            <w:vAlign w:val="bottom"/>
            <w:vMerge w:val="continue"/>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8200" w:type="dxa"/>
            <w:vAlign w:val="bottom"/>
          </w:tcPr>
          <w:p>
            <w:pPr>
              <w:spacing w:after="0"/>
              <w:rPr>
                <w:sz w:val="24"/>
                <w:szCs w:val="24"/>
                <w:color w:val="auto"/>
              </w:rPr>
            </w:pPr>
          </w:p>
        </w:tc>
        <w:tc>
          <w:tcPr>
            <w:tcW w:w="304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tax provision</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19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provision</w:t>
            </w:r>
          </w:p>
        </w:tc>
        <w:tc>
          <w:tcPr>
            <w:tcW w:w="9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provision</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2,858</w:t>
            </w: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have gross unrecognized tax benefits of $1.4 million, inclusive of interest and penalties of $0.9 million. If recognized, $1.4 million would reduce our effective tax rate. If applicable, we accrue interest and penalties related to uncertain tax positions as a component of the income tax provision.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our gross unrecognized tax benefits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4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(decreases) in tax positions related to prior periods</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(decreases) related to prior year tax positions as a result of lapse of statute</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80" w:type="dxa"/>
            <w:vAlign w:val="bottom"/>
          </w:tcPr>
          <w:p>
            <w:pPr>
              <w:spacing w:after="0"/>
              <w:rPr>
                <w:sz w:val="17"/>
                <w:szCs w:val="17"/>
                <w:color w:val="auto"/>
              </w:rPr>
            </w:pP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708</w:t>
            </w:r>
          </w:p>
        </w:tc>
      </w:tr>
      <w:tr>
        <w:trPr>
          <w:trHeight w:val="29"/>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the income before income taxes after the adoption of ASU 2023-09 for the year ended December 31, 2025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8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Pr>
          <w:p>
            <w:pPr>
              <w:spacing w:after="0"/>
              <w:rPr>
                <w:sz w:val="15"/>
                <w:szCs w:val="15"/>
                <w:color w:val="auto"/>
              </w:rPr>
            </w:pPr>
          </w:p>
        </w:tc>
      </w:tr>
      <w:tr>
        <w:trPr>
          <w:trHeight w:val="38"/>
        </w:trPr>
        <w:tc>
          <w:tcPr>
            <w:tcW w:w="83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3"/>
        </w:trPr>
        <w:tc>
          <w:tcPr>
            <w:tcW w:w="8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 federal statutory tax rate</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4"/>
        </w:trPr>
        <w:tc>
          <w:tcPr>
            <w:tcW w:w="834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State and local taxes, net of federal benefit </w:t>
            </w:r>
            <w:r>
              <w:rPr>
                <w:rFonts w:ascii="Times New Roman" w:cs="Times New Roman" w:eastAsia="Times New Roman" w:hAnsi="Times New Roman"/>
                <w:sz w:val="20"/>
                <w:szCs w:val="20"/>
                <w:b w:val="1"/>
                <w:bCs w:val="1"/>
                <w:color w:val="auto"/>
                <w:vertAlign w:val="superscript"/>
              </w:rPr>
              <w:t>(1)</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B.V.I.</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Statutory rate difference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77.8 %</w:t>
            </w:r>
          </w:p>
        </w:tc>
      </w:tr>
      <w:tr>
        <w:trPr>
          <w:trHeight w:val="21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Uruguay</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Free-trade zone rate difference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Argentina</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Statutory rate difference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Argentina tax inflation adjustment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GAAP-STAT adjustments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Reserve on tax receivable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23.5 %</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foreign jurisdictions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Nontaxable fair value adjustments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48.3 %</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5"/>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valuation allowance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unrecognized tax benefits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recognition of deferred tax asset upon domestication</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
        </w:trPr>
        <w:tc>
          <w:tcPr>
            <w:tcW w:w="8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0" w:firstLine="6"/>
        <w:spacing w:after="0"/>
        <w:tabs>
          <w:tab w:leader="none" w:pos="182"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states and local jurisdictions that contribute to the majority (greater than 50%) of the tax effect in this category include California, Colorado, and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0% statutory BVI income tax rate to income before income taxes prior to the adoption of ASU 2023-09 for the year ended December 31, 2024 is as follows:</w:t>
      </w:r>
    </w:p>
    <w:p>
      <w:pPr>
        <w:spacing w:after="0" w:line="1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31750</wp:posOffset>
            </wp:positionV>
            <wp:extent cx="19018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tcPr>
          <w:p>
            <w:pPr>
              <w:spacing w:after="0"/>
              <w:rPr>
                <w:sz w:val="19"/>
                <w:szCs w:val="19"/>
                <w:color w:val="auto"/>
              </w:rPr>
            </w:pPr>
          </w:p>
        </w:tc>
      </w:tr>
      <w:tr>
        <w:trPr>
          <w:trHeight w:val="240"/>
        </w:trPr>
        <w:tc>
          <w:tcPr>
            <w:tcW w:w="8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80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(113,414)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31"/>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8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state and local income tax, net of federal benefit</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1"/>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Argentina tax inflation adjustment</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allowances</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1"/>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carryforward attributes</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31"/>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1"/>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on tax receivable</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1"/>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31"/>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as of December 31, 2025 and 2024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8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0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2,422</w:t>
            </w:r>
          </w:p>
        </w:tc>
        <w:tc>
          <w:tcPr>
            <w:tcW w:w="8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r>
      <w:tr>
        <w:trPr>
          <w:trHeight w:val="31"/>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Expense for estimated credit losses on accounts receivable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r>
      <w:tr>
        <w:trPr>
          <w:trHeight w:val="20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Organizational costs</w:t>
            </w:r>
          </w:p>
        </w:tc>
        <w:tc>
          <w:tcPr>
            <w:tcW w:w="9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31"/>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7,024</w:t>
            </w:r>
          </w:p>
        </w:tc>
      </w:tr>
      <w:tr>
        <w:trPr>
          <w:trHeight w:val="20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31"/>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82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w:t>
            </w:r>
          </w:p>
        </w:tc>
      </w:tr>
      <w:tr>
        <w:trPr>
          <w:trHeight w:val="31"/>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income tax assets (liabilities), net</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and establishes a valuation allowance if it is more likely than not that some or all of its deferred tax assets will not be realized. The Company evaluates all available positive and negative evidence such as past operating results, projected future taxable income, as well as prudent and feasible tax-</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planning strategies. Management believes that it is more likely than not that the majority of deferred tax assets will not be realized. Accordingly, the Company has recorded a valuation allowance against its deferred tax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change in the total valuation allowance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8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beginning of year</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 impacting tax expense</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r>
      <w:tr>
        <w:trPr>
          <w:trHeight w:val="27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end of year</w:t>
            </w: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summary of our estimated loss and tax credit carryforwards at December 31, 2025. Our tax attributes are subject to limitations on utilization due to historic ownership changes and may be subject to future limitations upon subsequent change of control, as defined by the Internal Revenue Code Sections 382 and 383.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664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200" w:type="dxa"/>
            <w:vAlign w:val="bottom"/>
          </w:tcPr>
          <w:p>
            <w:pPr>
              <w:spacing w:after="0"/>
              <w:rPr>
                <w:sz w:val="13"/>
                <w:szCs w:val="13"/>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0" w:type="dxa"/>
            <w:vAlign w:val="bottom"/>
          </w:tcPr>
          <w:p>
            <w:pPr>
              <w:spacing w:after="0"/>
              <w:rPr>
                <w:sz w:val="1"/>
                <w:szCs w:val="1"/>
                <w:color w:val="auto"/>
              </w:rPr>
            </w:pPr>
          </w:p>
        </w:tc>
      </w:tr>
      <w:tr>
        <w:trPr>
          <w:trHeight w:val="193"/>
        </w:trPr>
        <w:tc>
          <w:tcPr>
            <w:tcW w:w="1560" w:type="dxa"/>
            <w:vAlign w:val="bottom"/>
            <w:gridSpan w:val="2"/>
            <w:vMerge w:val="continue"/>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2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20"/>
        </w:trPr>
        <w:tc>
          <w:tcPr>
            <w:tcW w:w="1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Argentina</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2026 - December 31, 2030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0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9,199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2026 - December 31, 2030</w:t>
            </w:r>
          </w:p>
        </w:tc>
        <w:tc>
          <w:tcPr>
            <w:tcW w:w="2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we had $15.5 million and $25.8 million of federal net operating loss (“NOL”) carryforwards, respectively.</w:t>
      </w:r>
    </w:p>
    <w:p>
      <w:pPr>
        <w:spacing w:after="0" w:line="21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In the normal course of business, we are subject to examination by taxing authorities. Tax years vary by jurisdiction, ranging from 2019 to 2024 remain open for examination.</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has a framework to implement a global minimum corporate tax of 15% for companies with global revenues and profits above certain thresholds, referred to as "Pillar 2.” Certain aspects of Pillar 2 became effective January 1, 2024 and other aspects became effective January 1, 2025. While it is uncertain whether the U.S. will enact legislation to adopt Pillar 2, certain countries have adopted legislation, and other countries are in the process of introducing legislation to implement Pillar 2. We have evaluated the impact of Pillar 2 on our effective tax rate, our consolidated results of operation, financial position, and cash flows and have determined there was no impact to the Company in 2025.</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assessed the effect of the OBBBA and concluded that there were no material impacts on its consolidated financial position, results of operations, and cash flows as of and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exceeded 5 percent of total income taxes paid (net of refunds) in the following jurisdictions: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Foreign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Argentina</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Spain</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Foreign</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taxes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260" w:type="dxa"/>
        <w:tblCellMar>
          <w:top w:w="0" w:type="dxa"/>
          <w:left w:w="0" w:type="dxa"/>
          <w:bottom w:w="0" w:type="dxa"/>
          <w:right w:w="0" w:type="dxa"/>
        </w:tblCellMar>
      </w:tblPr>
      <w:tr>
        <w:trPr>
          <w:trHeight w:val="213"/>
        </w:trPr>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4"/>
        </w:trPr>
        <w:tc>
          <w:tcPr>
            <w:tcW w:w="220" w:type="dxa"/>
            <w:vAlign w:val="bottom"/>
          </w:tcPr>
          <w:p>
            <w:pPr>
              <w:spacing w:after="0"/>
              <w:rPr>
                <w:sz w:val="16"/>
                <w:szCs w:val="16"/>
                <w:color w:val="auto"/>
              </w:rPr>
            </w:pPr>
          </w:p>
        </w:tc>
        <w:tc>
          <w:tcPr>
            <w:tcW w:w="22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2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614"/>
        </w:trPr>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381</w:t>
            </w:r>
          </w:p>
        </w:tc>
      </w:tr>
      <w:tr>
        <w:trPr>
          <w:trHeight w:val="240"/>
        </w:trPr>
        <w:tc>
          <w:tcPr>
            <w:tcW w:w="220" w:type="dxa"/>
            <w:vAlign w:val="bottom"/>
          </w:tcPr>
          <w:p>
            <w:pPr>
              <w:spacing w:after="0"/>
              <w:rPr>
                <w:sz w:val="20"/>
                <w:szCs w:val="20"/>
                <w:color w:val="auto"/>
              </w:rPr>
            </w:pPr>
          </w:p>
        </w:tc>
        <w:tc>
          <w:tcPr>
            <w:tcW w:w="22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(51)</w:t>
            </w:r>
          </w:p>
        </w:tc>
      </w:tr>
      <w:tr>
        <w:trPr>
          <w:trHeight w:val="32"/>
        </w:trPr>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2"/>
        </w:trPr>
        <w:tc>
          <w:tcPr>
            <w:tcW w:w="220" w:type="dxa"/>
            <w:vAlign w:val="bottom"/>
          </w:tcPr>
          <w:p>
            <w:pPr>
              <w:spacing w:after="0"/>
              <w:rPr>
                <w:sz w:val="17"/>
                <w:szCs w:val="17"/>
                <w:color w:val="auto"/>
              </w:rPr>
            </w:pPr>
          </w:p>
        </w:tc>
        <w:tc>
          <w:tcPr>
            <w:tcW w:w="22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330</w:t>
            </w:r>
          </w:p>
        </w:tc>
      </w:tr>
      <w:tr>
        <w:trPr>
          <w:trHeight w:val="31"/>
        </w:trPr>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5"/>
        </w:trPr>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330</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-912495</wp:posOffset>
            </wp:positionV>
            <wp:extent cx="6981825" cy="135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1825" cy="135255"/>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-641985</wp:posOffset>
            </wp:positionV>
            <wp:extent cx="6981825" cy="152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1825" cy="15240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-337185</wp:posOffset>
            </wp:positionV>
            <wp:extent cx="6981825" cy="160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1825" cy="16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720"/>
            <w:col w:w="8940"/>
          </w:cols>
          <w:pgMar w:left="320" w:top="119" w:right="33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registration statement was filed on May 2, 2022 and was declared effective on May 9, 2022.</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We are authorized to issue 385,000,000 Class A common stock with a par value of $0.0001 per share. Holders of Class A common stock are entitled to one vote for each share. As of December 31, 2025, there were 125,639,916 shares of Class A common stock issued and 125,072,093 outstanding.</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are authorized to issue 15,000,000 Class B common stock with a par value of $0.0001 per share. Holders of Class B common stock are entitled to 1.472467906 votes per share. Holders of Class B common stock originally held a number of votes per share equal to make the total number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equal to the number of votes controlled by the Liberty Investor or 13,582,642 shares. As of December 31, 2025, Satellogic’s founder and Chief</w:t>
      </w: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Executive Officer owns 10,582,641 shares of Class B common stock, representing 100% of the voting power of the Class B common stock and 10.9% of the voting power of Satellogic’s common stock at December 31, 2025.</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Class B common stock will automatically convert to Class A common stock at the five-year anniversary of the Closing Date unless otherwise converted, generally at the holder’s 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3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2022, our Board approved an initial $5 million share repurchase program. Repurchases under the program may be made in the open market, in privately negotiated transactions or otherwise, with the timing of repurchases depending on market conditions. The Company acquired 516,123 shares under the program in 2022 for $2.7 million and $2.3 million remains available.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Public Offering</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16, 2025, we completed a registered direct offering to sell 6,451,612 shares of Class A common stock at an offering price of $3.10 per share for gross proceeds of $20 million and net proceeds of $18.8 million after fees. The use of proceeds were for general corporate purposes, including the pursuit of near-term growth opportunities in our Space Systems business 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Underwritten Public Offering</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17, 2025, we closed on an underwritten public offering to sell 27,692,308 shares of Class A common stock at an offering price of $3.25 per share for gross proceeds of $90 million and net proceeds of approximately $84.9 million. after fees. The use of proceeds were for general corporate purposes and to further de-risk the Company’s strategy following the introduction of our 30cm-resolution NextGen satellite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2024, we entered into a Share Purchase Agreement with the Purchaser, pursuant to which the Company issued in a private placement 3,571,429 Class A common stock to the purchaser at a purchase price of $2.80 per share. The closing of the private placement occurred on December 10, 2024 and the Company received gross proceeds of $10,000,000.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December 20, 2024, we entered into a Sales Agreement with CF &amp; Co. acting as the Company’s sales agent, pursuant to which the Company may offer and sell, from time to time, through the Sales Agent, its Class A common stock, having an aggregate offering amount of up to $50 million.</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February 12, 2025, the Company entered into the Amended Sales Agreement with CF&amp;Co. and Northland, pursuant to which Northland was added as an additional Sales Agent in connection with the Company’s offer and sale, from time to time, through the Sales Agents, of its Class A common stock, having an aggregate offering amount of up to $50 million. The Amended Sales Agreement did not increase the amount of Class A common stock that may be offered and sold by the Company under the original Sales Agreement entered into between the Company and CF&amp;Co. on December 20, 2024. On February 13, 2025, pursuant to the Amended Sales Agreement, the Company filed a supplement, dated February 12, 2025, to the prospectus supplement, forming a part of its effective registration statement on Form F-3 (File No. 333-283719), initially filed with the SEC on December 10, 2024.</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9, 2025, the Company entered into the Second A&amp;R Sales Agreement with the Sales Agents, pursuant to which references to the Company’s Class A ordinary shares were replaced with references to the Company’s Class A common stock, along with other conforming changes, in connection with the Domestication.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16, 2025, the Company decreased the amount of Class A common stock offered pursuant to the ATM Program, such that the Company offered up to an aggregate of $15 million of shares of Class A common stock pursuant to the ATM Program from and after the sale thereof, not including the shares of Class A common stock previously sold.</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26, 2026, the Company decreased the amount of Class A common stock offered pursuant to the ATM Program, such that the Company could no longer make any sales of its Class A common stock pursuant to the ATM Program from and after the date thereof, not including the shares of Class A common stock previously sold.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employees, including senior executives, receive incentives in the form of stock options and RSUs, whereby employees render services as consideration for equity instruments (equity-settled transactions).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the Closing Date, we established the 2021 Incentive Compensation Plan, which was amended and restated in connection with the Domestication (the “2021 Plan”) under which RSUs were issued during the years ended December 31, 2025 and December 31, 2024. The 2021 Plan provides for the grant of options, stock appreciation rights, restricted stock awards, RSUs, shares granted as a bonus or in lieu of another award, dividend equivalents, or other stock-based awards or performance awards at the discretion of a board-elected committee. We also maintain our 2015 Share Plan as amended (the “2015 Plan”) under which stock-based option awards were issued or modified. The options were typically granted with a four-year vesting term and a maximum contractual term of 10 years. As of December 31, 2022, no further awards have or shall be granted under the 2015 Share Plan. There were no options granted during the years ended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2025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4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5"/>
                <w:szCs w:val="15"/>
                <w:color w:val="auto"/>
              </w:rPr>
            </w:pPr>
          </w:p>
        </w:tc>
        <w:tc>
          <w:tcPr>
            <w:tcW w:w="134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5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17"/>
                <w:szCs w:val="17"/>
                <w:color w:val="auto"/>
              </w:rPr>
            </w:pPr>
          </w:p>
        </w:tc>
        <w:tc>
          <w:tcPr>
            <w:tcW w:w="14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140" w:type="dxa"/>
            <w:vAlign w:val="bottom"/>
          </w:tcPr>
          <w:p>
            <w:pPr>
              <w:spacing w:after="0"/>
              <w:rPr>
                <w:sz w:val="17"/>
                <w:szCs w:val="17"/>
                <w:color w:val="auto"/>
              </w:rPr>
            </w:pPr>
          </w:p>
        </w:tc>
        <w:tc>
          <w:tcPr>
            <w:tcW w:w="13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5"/>
        </w:trPr>
        <w:tc>
          <w:tcPr>
            <w:tcW w:w="50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3,234,296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(1,900,194)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1,318,479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1,318,479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and 2024 was $5.1 million, and $0.5 million, respectively. During the years ended December 31, 2025 and 2024 the shares purchased from 87,658 options exercised and 32,181 options exercised, respectively were sold for payment of withholding taxes.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year ended December 31, 2025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3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Intrinsic Value (in</w:t>
            </w:r>
          </w:p>
        </w:tc>
      </w:tr>
      <w:tr>
        <w:trPr>
          <w:trHeight w:val="186"/>
        </w:trPr>
        <w:tc>
          <w:tcPr>
            <w:tcW w:w="5840" w:type="dxa"/>
            <w:vAlign w:val="bottom"/>
          </w:tcPr>
          <w:p>
            <w:pPr>
              <w:spacing w:after="0"/>
              <w:rPr>
                <w:sz w:val="16"/>
                <w:szCs w:val="16"/>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Grant-Date Value</w:t>
            </w:r>
          </w:p>
        </w:tc>
        <w:tc>
          <w:tcPr>
            <w:tcW w:w="140" w:type="dxa"/>
            <w:vAlign w:val="bottom"/>
          </w:tcPr>
          <w:p>
            <w:pPr>
              <w:spacing w:after="0"/>
              <w:rPr>
                <w:sz w:val="16"/>
                <w:szCs w:val="16"/>
                <w:color w:val="auto"/>
              </w:rPr>
            </w:pPr>
          </w:p>
        </w:tc>
        <w:tc>
          <w:tcPr>
            <w:tcW w:w="134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51"/>
        </w:trPr>
        <w:tc>
          <w:tcPr>
            <w:tcW w:w="58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2,893,396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during the year</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2,154,674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during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Vested during the year </w:t>
            </w:r>
            <w:r>
              <w:rPr>
                <w:rFonts w:ascii="Times New Roman" w:cs="Times New Roman" w:eastAsia="Times New Roman" w:hAnsi="Times New Roman"/>
                <w:sz w:val="20"/>
                <w:szCs w:val="20"/>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(1,552,596)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r>
      <w:tr>
        <w:trPr>
          <w:trHeight w:val="25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3,096,724</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6"/>
        <w:spacing w:after="0"/>
        <w:tabs>
          <w:tab w:leader="none" w:pos="20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issuance of Class A common stock was deferred, as elected by the certain grantees, for 410,000 and 264,516 RSUs that vested during the years ended December 31, 2025 and December 31, 2024, respectively. There was a total of 795,900 and 385,900 vested RSUs from all grant years that were vested and for which deferred issuance was elected by certain grantees as of December 31, 2025 and December 31, 2024, respectively.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value of RSUs at December 31, 2025 and December 31, 2024 was $2.66 and $1.40, respectively. The number of shares vested is net of 349,648 and 387,717 RSUs forfeited for payment of withholding taxes for the years ended December 31, 2025 and December 31, 2024, respectively.</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unrecognized stock-based compensation cost related to RSUs that are expected to vest was $4.2 million, which is expected to be recognized over a weighted-average period of 1.47 years. All outstanding stock options are 100% vested and there is no unrecognized stock-based compensation associated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Total employee and non-employee stock-based compensation expense was classified in the Consolidated Statements of Operations and Comprehensive Loss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r>
      <w:tr>
        <w:trPr>
          <w:trHeight w:val="38"/>
        </w:trPr>
        <w:tc>
          <w:tcPr>
            <w:tcW w:w="8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Engineering</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Diluted loss per share considers the impact of potentially dilutive securities. We identified financial instruments that qualify as potential common shares: (i) the share-based options awards described in Note 13 (Stock-based Compensation), (ii) the warrants described in Note 7 (Warrant Liabilities), and (iii) the earnout liabilities described in Note 8 (Earnout Liabilities). Each of these potential common shares are antidilutive since their conversion to common shares would decrease loss per share from continuing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8"/>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holders of Common Stock</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8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(116,272)</w:t>
            </w:r>
          </w:p>
        </w:tc>
      </w:tr>
      <w:tr>
        <w:trPr>
          <w:trHeight w:val="24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to numerator - Change in fair value of Secured Convertible Notes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numerator</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(24,432)</w:t>
            </w:r>
          </w:p>
        </w:tc>
        <w:tc>
          <w:tcPr>
            <w:tcW w:w="8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(116,272)</w:t>
            </w: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shares of Common Stock outstanding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109,134,266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91,164,286</w:t>
            </w: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Secured Convertible Notes (if converted)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134,134,266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91,164,286</w:t>
            </w:r>
          </w:p>
        </w:tc>
      </w:tr>
      <w:tr>
        <w:trPr>
          <w:trHeight w:val="253"/>
        </w:trPr>
        <w:tc>
          <w:tcPr>
            <w:tcW w:w="8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 for the period attributable to holders of Common Stock</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following securities were not included in the computation of diluted shares outstanding because the effect would have been anti-dilutive: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040" w:type="dxa"/>
            <w:vAlign w:val="bottom"/>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8"/>
        </w:trPr>
        <w:tc>
          <w:tcPr>
            <w:tcW w:w="82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49,184,815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49,184,815</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shares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1,775,962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1,775,962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1,318,479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3,234,296</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3,096,724</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2,893,396</w:t>
            </w: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issuance restricted stock units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795,900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385,900</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convertible from Secured Convertible Notes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w:t>
            </w:r>
          </w:p>
        </w:tc>
      </w:tr>
      <w:tr>
        <w:trPr>
          <w:trHeight w:val="261"/>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56,171,880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82,474,369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 and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fair value measurement hierarchy of our assets and liabilities:</w:t>
      </w:r>
    </w:p>
    <w:p>
      <w:pPr>
        <w:sectPr>
          <w:pgSz w:w="11900" w:h="16838" w:orient="portrait"/>
          <w:cols w:equalWidth="0" w:num="1">
            <w:col w:w="11240"/>
          </w:cols>
          <w:pgMar w:left="320" w:top="119"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4142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173"/>
        </w:trPr>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3"/>
        </w:trPr>
        <w:tc>
          <w:tcPr>
            <w:tcW w:w="15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86"/>
        </w:trPr>
        <w:tc>
          <w:tcPr>
            <w:tcW w:w="15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5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15875</wp:posOffset>
            </wp:positionV>
            <wp:extent cx="7134225" cy="160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900" w:space="720"/>
            <w:col w:w="462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5"/>
                <w:szCs w:val="15"/>
                <w:color w:val="auto"/>
              </w:rPr>
              <w:t>Warrants liability</w:t>
            </w:r>
          </w:p>
        </w:tc>
        <w:tc>
          <w:tcPr>
            <w:tcW w:w="2960" w:type="dxa"/>
            <w:vAlign w:val="bottom"/>
            <w:gridSpan w:val="4"/>
          </w:tcPr>
          <w:p>
            <w:pPr>
              <w:jc w:val="right"/>
              <w:ind w:right="84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1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60"/>
        </w:trPr>
        <w:tc>
          <w:tcPr>
            <w:tcW w:w="4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940" w:type="dxa"/>
            <w:vAlign w:val="bottom"/>
            <w:tcBorders>
              <w:bottom w:val="single" w:sz="8" w:color="CCEEFF"/>
            </w:tcBorders>
            <w:gridSpan w:val="3"/>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2960" w:type="dxa"/>
            <w:vAlign w:val="bottom"/>
            <w:gridSpan w:val="4"/>
          </w:tcPr>
          <w:p>
            <w:pPr>
              <w:jc w:val="right"/>
              <w:ind w:right="8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940" w:type="dxa"/>
            <w:vAlign w:val="bottom"/>
            <w:tcBorders>
              <w:bottom w:val="single" w:sz="8" w:color="CCEEFF"/>
            </w:tcBorders>
            <w:gridSpan w:val="3"/>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6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3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286"/>
              <w:spacing w:after="0" w:line="160"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3"/>
                <w:szCs w:val="13"/>
                <w:color w:val="auto"/>
              </w:rPr>
            </w:pPr>
          </w:p>
        </w:tc>
        <w:tc>
          <w:tcPr>
            <w:tcW w:w="130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20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7"/>
                <w:szCs w:val="17"/>
                <w:color w:val="auto"/>
              </w:rPr>
            </w:pPr>
          </w:p>
        </w:tc>
        <w:tc>
          <w:tcPr>
            <w:tcW w:w="13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5"/>
        </w:trPr>
        <w:tc>
          <w:tcPr>
            <w:tcW w:w="4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 Warrants</w:t>
            </w:r>
          </w:p>
        </w:tc>
        <w:tc>
          <w:tcPr>
            <w:tcW w:w="2960" w:type="dxa"/>
            <w:vAlign w:val="bottom"/>
            <w:gridSpan w:val="4"/>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$8.63 Warrants liability</w:t>
            </w:r>
          </w:p>
        </w:tc>
        <w:tc>
          <w:tcPr>
            <w:tcW w:w="2960" w:type="dxa"/>
            <w:vAlign w:val="bottom"/>
            <w:gridSpan w:val="4"/>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3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1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0" w:type="dxa"/>
            <w:vAlign w:val="bottom"/>
          </w:tcPr>
          <w:p>
            <w:pPr>
              <w:spacing w:after="0"/>
              <w:rPr>
                <w:sz w:val="1"/>
                <w:szCs w:val="1"/>
                <w:color w:val="auto"/>
              </w:rPr>
            </w:pPr>
          </w:p>
        </w:tc>
      </w:tr>
      <w:tr>
        <w:trPr>
          <w:trHeight w:val="26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860" w:type="dxa"/>
            <w:vAlign w:val="bottom"/>
            <w:tcBorders>
              <w:bottom w:val="single" w:sz="8" w:color="CCEEFF"/>
            </w:tcBorders>
            <w:gridSpan w:val="2"/>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2960" w:type="dxa"/>
            <w:vAlign w:val="bottom"/>
            <w:gridSpan w:val="4"/>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960" w:type="dxa"/>
            <w:vAlign w:val="bottom"/>
            <w:gridSpan w:val="4"/>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599"/>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46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values at December 31, 2025:</w:t>
      </w:r>
    </w:p>
    <w:p>
      <w:pPr>
        <w:spacing w:after="0" w:line="206" w:lineRule="exact"/>
        <w:rPr>
          <w:sz w:val="20"/>
          <w:szCs w:val="20"/>
          <w:color w:val="auto"/>
        </w:rPr>
      </w:pPr>
    </w:p>
    <w:p>
      <w:pPr>
        <w:ind w:left="640" w:hanging="314"/>
        <w:spacing w:after="0" w:line="276"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cash and cash equivalents, restricted cash, accounts receivable, prepaid expenses and other current assets, accounts payable, and accrued expenses and other liabilities are considered to approximate their fair values due to the short-term nature of these items.</w:t>
      </w:r>
    </w:p>
    <w:p>
      <w:pPr>
        <w:spacing w:after="0" w:line="176" w:lineRule="exact"/>
        <w:rPr>
          <w:rFonts w:ascii="Times New Roman" w:cs="Times New Roman" w:eastAsia="Times New Roman" w:hAnsi="Times New Roman"/>
          <w:sz w:val="18"/>
          <w:szCs w:val="18"/>
          <w:color w:val="auto"/>
        </w:rPr>
      </w:pPr>
    </w:p>
    <w:p>
      <w:pPr>
        <w:jc w:val="both"/>
        <w:ind w:left="640" w:hanging="314"/>
        <w:spacing w:after="0" w:line="253"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assumption is based on the historical volatility of the Company’s and OS’s stock prices and the risk free rate of return assumption is based on market rates. An increase in volatility and or the risk free rate of return would result in higher values for the Company’s stock warrants and the OS stock warrants that are valued using the Black-Scholes option pricing model.</w:t>
      </w:r>
    </w:p>
    <w:p>
      <w:pPr>
        <w:spacing w:after="0" w:line="197" w:lineRule="exact"/>
        <w:rPr>
          <w:rFonts w:ascii="Times New Roman" w:cs="Times New Roman" w:eastAsia="Times New Roman" w:hAnsi="Times New Roman"/>
          <w:sz w:val="18"/>
          <w:szCs w:val="18"/>
          <w:color w:val="auto"/>
        </w:rPr>
      </w:pPr>
    </w:p>
    <w:p>
      <w:pPr>
        <w:ind w:left="640" w:right="360" w:hanging="314"/>
        <w:spacing w:after="0" w:line="260"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OS stock warrant investment assets have been estimated using the Black-Scholes model. The OS stock warrant expired on December 31, 2025.</w:t>
      </w:r>
    </w:p>
    <w:p>
      <w:pPr>
        <w:spacing w:after="0" w:line="20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$8.63 Warrants were determined using the quoted prices in the active warrant market.</w:t>
      </w:r>
    </w:p>
    <w:p>
      <w:pPr>
        <w:spacing w:after="0" w:line="20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PIPE Warrant have been estimated using the Black-Scholes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1.1 years</w:t>
      </w:r>
    </w:p>
    <w:p>
      <w:pPr>
        <w:spacing w:after="0" w:line="5" w:lineRule="exact"/>
        <w:rPr>
          <w:rFonts w:ascii="Times New Roman" w:cs="Times New Roman" w:eastAsia="Times New Roman" w:hAnsi="Times New Roman"/>
          <w:sz w:val="18"/>
          <w:szCs w:val="18"/>
          <w:color w:val="auto"/>
        </w:rPr>
      </w:pPr>
    </w:p>
    <w:p>
      <w:pPr>
        <w:ind w:left="1280" w:hanging="315"/>
        <w:spacing w:after="0" w:line="232" w:lineRule="auto"/>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120%</w:t>
      </w: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3.4%</w:t>
      </w:r>
    </w:p>
    <w:p>
      <w:pPr>
        <w:spacing w:after="0" w:line="212" w:lineRule="exact"/>
        <w:rPr>
          <w:rFonts w:ascii="Times New Roman" w:cs="Times New Roman" w:eastAsia="Times New Roman" w:hAnsi="Times New Roman"/>
          <w:sz w:val="18"/>
          <w:szCs w:val="18"/>
          <w:color w:val="auto"/>
        </w:rPr>
      </w:pPr>
    </w:p>
    <w:p>
      <w:pPr>
        <w:ind w:left="640" w:right="760" w:hanging="314"/>
        <w:spacing w:after="0" w:line="250"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Liberty Warrants and Liberty Advisory Fee Warrant have been estimated using the Black-Scholes model. Significant unobservable inputs include:</w:t>
      </w:r>
    </w:p>
    <w:p>
      <w:pPr>
        <w:spacing w:after="0" w:line="1" w:lineRule="exact"/>
        <w:rPr>
          <w:rFonts w:ascii="Times New Roman" w:cs="Times New Roman" w:eastAsia="Times New Roman" w:hAnsi="Times New Roman"/>
          <w:sz w:val="18"/>
          <w:szCs w:val="18"/>
          <w:color w:val="auto"/>
        </w:rPr>
      </w:pPr>
    </w:p>
    <w:p>
      <w:pPr>
        <w:ind w:left="1280" w:hanging="315"/>
        <w:spacing w:after="0" w:line="231" w:lineRule="auto"/>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1.1 years</w:t>
      </w: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120.0%</w:t>
      </w:r>
    </w:p>
    <w:p>
      <w:pPr>
        <w:spacing w:after="0" w:line="5"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3.4%</w:t>
      </w:r>
    </w:p>
    <w:p>
      <w:pPr>
        <w:spacing w:after="0" w:line="18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Sponsor Earnout has been estimated using the Monte Carlo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1.1 years</w:t>
      </w:r>
    </w:p>
    <w:p>
      <w:pPr>
        <w:spacing w:after="0" w:line="5" w:lineRule="exact"/>
        <w:rPr>
          <w:rFonts w:ascii="Times New Roman" w:cs="Times New Roman" w:eastAsia="Times New Roman" w:hAnsi="Times New Roman"/>
          <w:sz w:val="18"/>
          <w:szCs w:val="18"/>
          <w:color w:val="auto"/>
        </w:rPr>
      </w:pPr>
    </w:p>
    <w:p>
      <w:pPr>
        <w:ind w:left="1280" w:hanging="315"/>
        <w:spacing w:after="0" w:line="232" w:lineRule="auto"/>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120%</w:t>
      </w: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3.4%</w:t>
      </w:r>
    </w:p>
    <w:p>
      <w:pPr>
        <w:spacing w:after="0" w:line="212" w:lineRule="exact"/>
        <w:rPr>
          <w:rFonts w:ascii="Times New Roman" w:cs="Times New Roman" w:eastAsia="Times New Roman" w:hAnsi="Times New Roman"/>
          <w:sz w:val="18"/>
          <w:szCs w:val="18"/>
          <w:color w:val="auto"/>
        </w:rPr>
      </w:pPr>
    </w:p>
    <w:p>
      <w:pPr>
        <w:jc w:val="both"/>
        <w:ind w:left="640" w:hanging="314"/>
        <w:spacing w:after="0" w:line="24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Secured Convertible Notes is determined by using the “with” method. At each measurement date we valued the Secured Convertible Notes with the conversion option. The difference between the aggregate fair value of the Secured Convertible Notes and the unpaid principal balance was $26.1 million at December 31, 2025. Inputs used for the fair value measurement include:</w:t>
      </w:r>
    </w:p>
    <w:p>
      <w:pPr>
        <w:spacing w:after="0" w:line="1"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 24.99% to 37.49%</w:t>
      </w:r>
    </w:p>
    <w:p>
      <w:pPr>
        <w:spacing w:after="0" w:line="5" w:lineRule="exact"/>
        <w:rPr>
          <w:rFonts w:ascii="Times New Roman" w:cs="Times New Roman" w:eastAsia="Times New Roman" w:hAnsi="Times New Roman"/>
          <w:sz w:val="18"/>
          <w:szCs w:val="18"/>
          <w:color w:val="auto"/>
        </w:rPr>
      </w:pPr>
    </w:p>
    <w:p>
      <w:pPr>
        <w:ind w:left="1280" w:hanging="315"/>
        <w:spacing w:after="0" w:line="232" w:lineRule="auto"/>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80%</w:t>
      </w:r>
    </w:p>
    <w:p>
      <w:pPr>
        <w:ind w:left="1280" w:hanging="315"/>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assets during the years ended December 31, 2025 and 2024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OS warrants</w:t>
            </w:r>
          </w:p>
        </w:tc>
      </w:tr>
      <w:tr>
        <w:trPr>
          <w:trHeight w:val="2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r>
      <w:tr>
        <w:trPr>
          <w:trHeight w:val="24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Recognized in the Consolidated Statements of Operations and Comprehensive Loss for the years ended December 31, 2025.</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25"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liabilities during the years ended December 31, 2025 and 2024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Liberty Warrants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Liberty</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Advisory Fee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4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0" w:type="dxa"/>
            <w:vAlign w:val="bottom"/>
          </w:tcPr>
          <w:p>
            <w:pPr>
              <w:spacing w:after="0"/>
              <w:rPr>
                <w:sz w:val="1"/>
                <w:szCs w:val="1"/>
                <w:color w:val="auto"/>
              </w:rPr>
            </w:pPr>
          </w:p>
        </w:tc>
      </w:tr>
      <w:tr>
        <w:trPr>
          <w:trHeight w:val="24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50,595</w:t>
            </w:r>
          </w:p>
        </w:tc>
        <w:tc>
          <w:tcPr>
            <w:tcW w:w="0" w:type="dxa"/>
            <w:vAlign w:val="bottom"/>
          </w:tcPr>
          <w:p>
            <w:pPr>
              <w:spacing w:after="0"/>
              <w:rPr>
                <w:sz w:val="1"/>
                <w:szCs w:val="1"/>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79,070</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4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0" w:type="dxa"/>
            <w:vAlign w:val="bottom"/>
          </w:tcPr>
          <w:p>
            <w:pPr>
              <w:spacing w:after="0"/>
              <w:rPr>
                <w:sz w:val="1"/>
                <w:szCs w:val="1"/>
                <w:color w:val="auto"/>
              </w:rPr>
            </w:pPr>
          </w:p>
        </w:tc>
      </w:tr>
      <w:tr>
        <w:trPr>
          <w:trHeight w:val="20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56,110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20" w:hanging="314"/>
        <w:spacing w:after="0"/>
        <w:tabs>
          <w:tab w:leader="none" w:pos="32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Recognized in the Consolidated Statements of Operations and Comprehensive Loss for the years ended December 31, 2025 and 2024,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years ended December 31, 2025 or 2024.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description of transactions with CF&amp;Co. and Liberty Investment as part of the Merger Transaction described in Note 4 (Reverse Recapitalization).</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made purchases totaling $0.8 million from our equity method investee, OS, in the year ended December 31, 2025 and there was $0.4 million owed to OS and included in accounts payable at December 31, 2025. We made purchases totaling $1.3 million from our equity method investee, OS, in the year ended December 31, 2024 and there was $0.0 million owed to OS and included in accounts payable at December 31, 2024. See Note 20 (Equity Method Investment).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CF&amp;Co. acted as one of the underwriters of the Company’s $90.0 million underwritten public offering in October 2025, pursuant to the Underwriting Agreement by and between the Company and CF&amp;Co. CF&amp;Co. purchased 14,953,847 shares for a gross purchase price of $3.25 per share and received underwriting discounts and commissions of 5.0% or $0.1625 per share.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CF&amp;Co. acted as the exclusive placement agent for a registered direct offering in April 2025, pursuant to the Placement Agent Agreement by and between the Company and CF&amp;Co. Pursuant to the Placement Agent Agreement, the Company agreed to pay CF&amp;Co. a cash fee equal to 4.0% of the aggregate gross proceeds raised in the Registered Direct Offering. Total gross sales under the Registered Direct Offering were $20.0 million.</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CF&amp;Co acted as a sales agent to the Company, pursuant to a Sales Agreement by and between the Company and CF&amp;Co. in which the Company could offer and sell, from time to time, through the Sales Agent, its Class A common stock, having an aggregate offering amount of up to $50.0 million in December 2024. The Sales Agreement was amended and restated on February 12, 2025 and April 9, 2025; however, the Sales Agreement, as amended and restated, did not increase the amount of Class A common stock that may be offered and sold by the Company under the original Sales Agreement entered into in December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agreement was amended again on October 16, 2025 to reduce future sales under the agreement to $15.0 million. An additional</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amendment on January 26, 2026 further reduced future sales under the agreement to zero. Pursuant to the Amended Sales Agreement, when designated as sales agent for a particular sale, CF&amp;Co. was paid a commission, in cash, at a fixed rate of 3.0% of the gross sales price per share sold under the Amended Sales Agreement. CF&amp;Co. is also entitled to reimbursement for certain specified expenses, including the fees and disbursements of CF&amp;Co.’s legal counsel. Total gross sales under the agreement were $9.5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CF&amp;Co served as the Company’s financial advisor in connection with the offering and sale of the Secured Convertible Notes on April 12, 2024. Pursuant to a letter agreement, CF&amp;Co received a fee equal to $0.9 million after the closing of the Secured Convertible Notes. See Note 17 (Secured Convertible Notes) for additional details on the Secured Convertible Notes.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CF&amp;Co. is controlled by Cantor Fitzgerald, L.P., which beneficially owns more than 10% of our Class A common stock. Additionally, Howard Lutnick, a former member of the Company’s Board who elected to resign from the Board, effective November 25, 2024, is the former Chief Executive Officer of CF&amp;Co.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Secured Convertible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as of December 31, 2025 and December 31,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680" w:type="dxa"/>
            <w:vAlign w:val="bottom"/>
            <w:tcBorders>
              <w:bottom w:val="single" w:sz="8" w:color="auto"/>
            </w:tcBorders>
          </w:tcPr>
          <w:p>
            <w:pPr>
              <w:jc w:val="center"/>
              <w:ind w:left="50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4"/>
        </w:trPr>
        <w:tc>
          <w:tcPr>
            <w:tcW w:w="6640" w:type="dxa"/>
            <w:vAlign w:val="bottom"/>
          </w:tcPr>
          <w:p>
            <w:pPr>
              <w:spacing w:after="0"/>
              <w:rPr>
                <w:sz w:val="16"/>
                <w:szCs w:val="16"/>
                <w:color w:val="auto"/>
              </w:rPr>
            </w:pPr>
          </w:p>
        </w:tc>
        <w:tc>
          <w:tcPr>
            <w:tcW w:w="16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6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680" w:type="dxa"/>
            <w:vAlign w:val="bottom"/>
            <w:shd w:val="clear" w:color="auto" w:fill="CCEEFF"/>
          </w:tcPr>
          <w:p>
            <w:pPr>
              <w:jc w:val="right"/>
              <w:ind w:right="15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6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non-current debt</w:t>
            </w:r>
          </w:p>
        </w:tc>
        <w:tc>
          <w:tcPr>
            <w:tcW w:w="16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12, 2024, the Company, Nettar and the Holder Representative entered into a Note Purchase Agreement with the Purchaser, pursuant to which Nettar agreed to issue $30.0 million aggregate principal amount of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(10.36% as of December 31, 2025),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are convertible by the holder of the notes into shares of the Company’s Class A common stock at an initial conversion price of $1.20 (or 833.33 shares of Class A common stock per $1,000 principal amount of Secured Convertible Notes) (“Conversion Feature”), subject to customary anti-dilution adjustments. The Company’s ability to settle conversions using the Company’s Class A common stock is subject to CFIUS Approval (as defined in the Note Purchase Agreement).</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this Note has been previously settled or converted in accordance with the other features mentioned within agreement, the entire outstanding principal balance and all unpaid accrued interest shall become fully due and payable on the Maturity Date of April 12, 2028.</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payment of dividends or other restricted payments, (iv) the sale, transfer or otherwise conveyance of certain assets, subject to asset sale pre-payment described above, and (v) affiliate transactions.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offering, the Company also entered into a registration rights agreement with the Purchaser, pursuant to which the Company agreed to register for resale the Class A common stock issuable upon conversion of the Secured Convertible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2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 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year of issuance rather than being deferred and recorded as expense over the life of the Secured Convertible Notes. The carrying value of Secured Convertible notes at December 31, 2025 and December 31, 2024 includes accrued interest of $0.9 million and $1.0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operating leases relating to office facilities, manufacturing facilities and ground stations. Lease terms range from 3 years to 5 years.</w:t>
      </w:r>
    </w:p>
    <w:p>
      <w:pPr>
        <w:spacing w:after="0" w:line="2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the Company’s leases include options for early termination. The Company utilizes the base period as the lease term when initially recognizing right-of-use assets and lease liabilities, unless it is reasonably certain that a termination option will be exercised.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lease costs related to our operating leases for the years ended December 31, 2025 and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1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5"/>
        </w:trPr>
        <w:tc>
          <w:tcPr>
            <w:tcW w:w="74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costs</w:t>
            </w:r>
          </w:p>
        </w:tc>
        <w:tc>
          <w:tcPr>
            <w:tcW w:w="1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costs</w:t>
            </w:r>
          </w:p>
        </w:tc>
        <w:tc>
          <w:tcPr>
            <w:tcW w:w="11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Cash paid for amounts included in the measurement of operating lease liabilities were as follows for the years ended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w:t>
      </w:r>
    </w:p>
    <w:p>
      <w:pPr>
        <w:spacing w:after="0" w:line="27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20320</wp:posOffset>
            </wp:positionV>
            <wp:extent cx="29165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22" w:lineRule="exact"/>
        <w:rPr>
          <w:sz w:val="20"/>
          <w:szCs w:val="20"/>
          <w:color w:val="auto"/>
        </w:rPr>
      </w:pPr>
    </w:p>
    <w:p>
      <w:pPr>
        <w:ind w:left="7620"/>
        <w:spacing w:after="0"/>
        <w:tabs>
          <w:tab w:leader="none" w:pos="99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225" cy="160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6640" w:val="left"/>
          <w:tab w:leader="none" w:pos="8380" w:val="left"/>
          <w:tab w:leader="none" w:pos="8980" w:val="left"/>
          <w:tab w:leader="none" w:pos="10720" w:val="left"/>
        </w:tabs>
        <w:rPr>
          <w:sz w:val="20"/>
          <w:szCs w:val="20"/>
          <w:color w:val="auto"/>
        </w:rPr>
      </w:pPr>
      <w:r>
        <w:rPr>
          <w:rFonts w:ascii="Times New Roman" w:cs="Times New Roman" w:eastAsia="Times New Roman" w:hAnsi="Times New Roman"/>
          <w:sz w:val="16"/>
          <w:szCs w:val="16"/>
          <w:color w:val="auto"/>
        </w:rPr>
        <w:t>Operating cash flows - operating lease payments</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(1,863)</w:t>
        <w:tab/>
        <w:t>$</w:t>
      </w:r>
      <w:r>
        <w:rPr>
          <w:sz w:val="20"/>
          <w:szCs w:val="20"/>
          <w:color w:val="auto"/>
        </w:rPr>
        <w:tab/>
      </w:r>
      <w:r>
        <w:rPr>
          <w:rFonts w:ascii="Times New Roman" w:cs="Times New Roman" w:eastAsia="Times New Roman" w:hAnsi="Times New Roman"/>
          <w:sz w:val="16"/>
          <w:szCs w:val="16"/>
          <w:b w:val="1"/>
          <w:bCs w:val="1"/>
          <w:color w:val="auto"/>
        </w:rPr>
        <w:t>(2,702)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45720</wp:posOffset>
            </wp:positionV>
            <wp:extent cx="2916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 and the reconciliation to the present value of the operating lease liabilities at December 31, 2025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5"/>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1"/>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r>
      <w:tr>
        <w:trPr>
          <w:trHeight w:val="21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1"/>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r>
      <w:tr>
        <w:trPr>
          <w:trHeight w:val="21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211"/>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r>
      <w:tr>
        <w:trPr>
          <w:trHeight w:val="21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5"/>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remaining lease payments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9,840</w:t>
            </w: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Present value of lease liability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7,273</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0"/>
        </w:trPr>
        <w:tc>
          <w:tcPr>
            <w:tcW w:w="9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1,174</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weighted-average remaining years for the operating leases are 4.1 years and 4.6 years as of December 31, 2025 and 2024, respectively. The weighted-average discount rate for operating leases is 9.2% and 3.6% as of December 31, 2025 and 2024, respectively. For the years ended December 31, 2025 and 2024, the Company obtained $8.0 million and $0.2 million, respectively of right-of-use assets for new operating lease obligations.</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November 29, 2024, the Company entered into a settlement agreement for its Netherlands Lease. The Company paid $0.3 million in termination fees in connection with the settlement agreement. As a result of the termination of the Netherlands Lease, the related right-of-use asset was written off and the lease liability was derecognized. In total, the Company recognized a gain on the termination of the Netherlands Lease of $0.4 million during the year ended December 31, 2024. The loss is included in engineering expenses on our Consolidated Statement of Operations and Comprehensive Loss.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had an operating lease ROU asset of approximately $0.7 million related to the Netherlands Lease recorded in its Consolidated Balance Sheets as of December 31, 2024. The Company had current and non-current operating lease liabilities of approximately $0.5 million and $0.6 million, respectively, related to the Netherlands Lease recorded in its Consolidated Balance Sheets as of December 31, 2024.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December 31, 2025 and December 31, 2024, we are not aware of any contingent liabilities that should be reflected in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Services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purchased commitments for future satellite launch services to be performed by third parties subsequent to December 31, 2025. Future purchase commitments under noncancelable launch service contracts as of December 31, 2025 consisted of approximately $8.2 million of total purchase commitments for the year ending December 31, 2026 and total commitments of $10.2 million through 2028.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Equity Method Investment</w:t>
      </w:r>
    </w:p>
    <w:p>
      <w:pPr>
        <w:spacing w:after="0" w:line="2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2022, we entered into an Investment Agreement with OS, a company engaged in the design and production of telescopes and opto-mechanical and aerospace instrumentation for ground and space-based applications, to purchase 5% (283,725 shares) of OS’s outstanding common shares for $3.7 million. Additionally, OS issued 524,715 stock warrants to us, giving us the right to convert each warrant into a single common share over a period of up to 36 months. These warrants expired on December 31, 2025. Emiliano Kargieman, our Chief Executive Officer, was appointed to OS’s board of directors. The inclusion of Mr. Kargieman on OS’s board of directors, the option to purchase additional shares, and being a significant customer of OS gives the Company a certain level of control that makes the equity method of accounting appropriate even though the Company’s investment is less than 20%.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investment has a carrying value of $3.8 million as of December 31, 2025 and is included in Other non-current assets on the Consolidated Balance Sheets.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value of the investment based on the quoted market price is approximately $8.6 million.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26, 2026, the Company entered into a share purchase agreement with certain institutional purchasers, pursuant to which the Company agreed to issue and sell in a registered direct offering (the “Offering”), 7,399,578 shares of the Company’s Class A common stock, par value $0.0001 per share, at an offering price of $4.73 per share. The gross proceeds to the Company from the Offering were approximately $35 million, before deducting placement agents fees and estimated offering expenses payable by the Company. Closing of the Offering occurred on January 27, 2026.</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this transaction occurred after December 31, 2025, the consolidated financial statements as of and for the year ended December 31, 2025 do not reflect the issuance of these shares, the resulting cash proceeds or their impact on loss per share. The Company intends to use the net proceeds for general corporate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 Update</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26, 2026, the Company updated and amended certain information contained in the prospectus supplement, dated October 16, 2025, the prospectus supplement, dated April 9, 2025, the prospectus supplement, dated February 13, 2025, the prospectus supplement, dated December 20, 2024, and the prospectus dated March 31, 2025 (together, the “Prospectus”), to reduce the amount of Class A Common Stock registered under the Prospectus to $0.00. As a result, we may not make any sales of Class A Common Stock pursuant to the Sales Agreement unless and until a new prospectus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 is filed with the Securities and Exchange Commission; however, the Sales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end of the period covered by this Report, our CEO and CFO carried out an evaluation of the effectiveness of our disclosure controls and procedures.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this evaluation, our CEO and CFO concluded that our disclosure controls and procedures were effective as of December 31, 2025.</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management, including the CEO and CFO, is responsible for establishing and maintaining adequate internal control over financial reporting (as such term is defined by Rule 13a-15(f) and 15d-15(f) under the Exchange Act). Our internal control over financial reporting is a process designed to provide reasonable assurance regarding the reliability of financial reporting and the preparation of the Consolidated Financial Statements for external purposes in accordance with U.S. GAAP and includes those policies and procedures that (i) pertain to the maintenance of records that, in reasonable detail, accurately and fairly reflect our transactions and dispositions of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management has assessed the effectiveness of internal control over financial reporting as of December 31, 2025 based on the criteria established in “Internal Control-Integrated Framework (2013)” issued by the Committee of Sponsoring Organizations of the Treadway Commission. Based on such assessment and criteria, our management has concluded that our internal control over financial reporting was effective as of December 31, 2025.</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During the quarter ended December 31, 2025, there were no changes made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4" w:lineRule="exact"/>
        <w:rPr>
          <w:sz w:val="20"/>
          <w:szCs w:val="20"/>
          <w:color w:val="auto"/>
        </w:rPr>
      </w:pPr>
    </w:p>
    <w:p>
      <w:pPr>
        <w:jc w:val="both"/>
        <w:ind w:right="20" w:firstLine="479"/>
        <w:spacing w:after="0" w:line="260" w:lineRule="auto"/>
        <w:rPr>
          <w:sz w:val="20"/>
          <w:szCs w:val="20"/>
          <w:color w:val="auto"/>
        </w:rPr>
      </w:pPr>
      <w:r>
        <w:rPr>
          <w:rFonts w:ascii="Times New Roman" w:cs="Times New Roman" w:eastAsia="Times New Roman" w:hAnsi="Times New Roman"/>
          <w:sz w:val="18"/>
          <w:szCs w:val="18"/>
          <w:color w:val="auto"/>
        </w:rPr>
        <w:t>On October 16, 2025, Emiliano Kargieman, our Chief Executive Officer, suspended a Rule 10b5-1 trading arrangement intended to satisfy the affirmative defense conditions of Rule 10b5-1(c) for the sale of up to 2,000,000 shares of the Company’s Class A common stock.</w:t>
      </w:r>
    </w:p>
    <w:p>
      <w:pPr>
        <w:spacing w:after="0" w:line="204" w:lineRule="exact"/>
        <w:rPr>
          <w:sz w:val="20"/>
          <w:szCs w:val="20"/>
          <w:color w:val="auto"/>
        </w:rPr>
      </w:pPr>
    </w:p>
    <w:p>
      <w:pPr>
        <w:ind w:right="100" w:firstLine="479"/>
        <w:spacing w:after="0" w:line="260" w:lineRule="auto"/>
        <w:rPr>
          <w:sz w:val="20"/>
          <w:szCs w:val="20"/>
          <w:color w:val="auto"/>
        </w:rPr>
      </w:pPr>
      <w:r>
        <w:rPr>
          <w:rFonts w:ascii="Times New Roman" w:cs="Times New Roman" w:eastAsia="Times New Roman" w:hAnsi="Times New Roman"/>
          <w:sz w:val="18"/>
          <w:szCs w:val="18"/>
          <w:color w:val="auto"/>
        </w:rPr>
        <w:t>Except as set forth above, none of our directors or officers adopted, modified, or terminated any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to be filed with the Securities and Exchange Commission within 120 days after the end of the fiscal year ended December 31,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to be filed with the Securities and Exchange Commission within 120 days after the end of the fiscal year ended December 31, 2025.</w:t>
      </w:r>
    </w:p>
    <w:p>
      <w:pPr>
        <w:spacing w:after="0" w:line="200" w:lineRule="exact"/>
        <w:rPr>
          <w:sz w:val="20"/>
          <w:szCs w:val="20"/>
          <w:color w:val="auto"/>
        </w:rPr>
      </w:pPr>
    </w:p>
    <w:p>
      <w:pPr>
        <w:spacing w:after="0" w:line="240"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to be filed with the Securities and Exchange Commission within 120 days after the end of the fiscal year ended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to be filed with the Securities and Exchange Commission within 120 days after the end of the fiscal year ended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to be filed with the Securities and Exchange Commission within 120 days after the end of the fiscal year ended December 31, 2025.</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 Schedules:</w:t>
      </w:r>
    </w:p>
    <w:p>
      <w:pPr>
        <w:spacing w:after="0" w:line="23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Financial statement schedules have been omitted because either they are not applicable or the required information is included in the financial statements or the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Exhibits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1"/>
        </w:trPr>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40" w:type="dxa"/>
            <w:vAlign w:val="bottom"/>
            <w:gridSpan w:val="28"/>
          </w:tcPr>
          <w:p>
            <w:pPr>
              <w:ind w:left="1660"/>
              <w:spacing w:after="0"/>
              <w:rPr>
                <w:sz w:val="20"/>
                <w:szCs w:val="20"/>
                <w:color w:val="auto"/>
              </w:rPr>
            </w:pPr>
            <w:r>
              <w:rPr>
                <w:rFonts w:ascii="Times New Roman" w:cs="Times New Roman" w:eastAsia="Times New Roman" w:hAnsi="Times New Roman"/>
                <w:sz w:val="18"/>
                <w:szCs w:val="18"/>
                <w:color w:val="auto"/>
              </w:rPr>
              <w:t>Description</w:t>
            </w:r>
          </w:p>
        </w:tc>
      </w:tr>
      <w:tr>
        <w:trPr>
          <w:trHeight w:val="2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00" w:type="dxa"/>
            <w:vAlign w:val="bottom"/>
            <w:tcBorders>
              <w:top w:val="single" w:sz="8" w:color="auto"/>
            </w:tcBorders>
            <w:gridSpan w:val="4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Agreement and Plan of Merger, dated as of July 5, 2021, by and among CF Acquisition Corp. V, Satellogic Inc., Ganymede Merger Sub 2</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6"/>
          </w:tcPr>
          <w:p>
            <w:pPr>
              <w:spacing w:after="0" w:line="15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Inc., Ganymede Merger Sub 1 Inc. and Nettar Group Inc. (incorporated by reference to Exhibit 2.1 to the Report on Form F-4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14"/>
          </w:tcPr>
          <w:p>
            <w:pPr>
              <w:spacing w:after="0" w:line="16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August 12, 2021 (file no. 333-258764)).</w:t>
              </w:r>
            </w:hyperlink>
          </w:p>
        </w:tc>
        <w:tc>
          <w:tcPr>
            <w:tcW w:w="6640" w:type="dxa"/>
            <w:vAlign w:val="bottom"/>
            <w:tcBorders>
              <w:top w:val="single" w:sz="8" w:color="0000FF"/>
            </w:tcBorders>
            <w:gridSpan w:val="1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Certificate of Domestication of Satellogic Inc. (incorporated by reference to Exhibit 3.1 to the Current Report on Form 8-K filed on March</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26, 2025 (file no. 001-41247)).</w:t>
              </w:r>
            </w:hyperlink>
          </w:p>
        </w:tc>
        <w:tc>
          <w:tcPr>
            <w:tcW w:w="76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Certificate of Incorporation of Satellogic Inc. (incorporated by reference to Exhibit 3.2 to the Current Report on Form 8-K filed on March</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26, 2025 (file no. 001-41247)).</w:t>
              </w:r>
            </w:hyperlink>
          </w:p>
        </w:tc>
        <w:tc>
          <w:tcPr>
            <w:tcW w:w="76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Bylaws of Satellogic Inc. (incorporated by reference to Exhibit 3.3 to the Current Report on Form 8-K filed on March 26, 2025 (file no.</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001-41247)).</w:t>
              </w:r>
            </w:hyperlink>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Description of Registrant’s Securities (incorporated by reference to Item 1 of the Registration Statement on Form 8-A filed on March 26,</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2025 (file no. 001-41247)).</w:t>
              </w:r>
            </w:hyperlink>
          </w:p>
        </w:tc>
        <w:tc>
          <w:tcPr>
            <w:tcW w:w="77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Specimen warrant certificate of Satellogic Inc. (incorporated by reference to Exhibit 4.3 to the Report on Form F-4 filed October 19, 2021</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40"/>
          </w:tcPr>
          <w:p>
            <w:pPr>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(file no. 333-258764)).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Warrant Agreement, dated January 28, 2021, by and between CF Acquisition Corp. V and Continental Stock Transfer &amp; Trust Company,</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as warrant agent (incorporated by reference to Exhibit 4.1 of CF Acquisition Corp. V’s Current Report on Form 8-K filed February 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2021).</w:t>
              </w:r>
            </w:hyperlink>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Warrant Assumption Agreement among CF Acquisition Corp. V, Satellogic Inc. and Continental Stock Transfer &amp; Trust Company, as</w:t>
              </w:r>
            </w:hyperlink>
          </w:p>
        </w:tc>
        <w:tc>
          <w:tcPr>
            <w:tcW w:w="420" w:type="dxa"/>
            <w:vAlign w:val="bottom"/>
            <w:gridSpan w:val="16"/>
          </w:tcPr>
          <w:p>
            <w:pPr>
              <w:spacing w:after="0"/>
              <w:rPr>
                <w:sz w:val="22"/>
                <w:szCs w:val="22"/>
                <w:color w:val="auto"/>
              </w:rPr>
            </w:pPr>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42"/>
          </w:tcPr>
          <w:p>
            <w:pPr>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Warrant agent, dated as of January 25, 2022 (incorporated by reference to Exhibit 2.6 to the Shell Company Report on Form 20-F filed on</w:t>
              </w:r>
            </w:hyperlink>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38"/>
          </w:tcPr>
          <w:p>
            <w:pPr>
              <w:spacing w:after="0" w:line="16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 xml:space="preserve">January 27, 2022 </w:t>
              </w:r>
              <w:r>
                <w:rPr>
                  <w:rFonts w:ascii="Times New Roman" w:cs="Times New Roman" w:eastAsia="Times New Roman" w:hAnsi="Times New Roman"/>
                  <w:sz w:val="18"/>
                  <w:szCs w:val="18"/>
                  <w:u w:val="single" w:color="auto"/>
                  <w:color w:val="0000FF"/>
                </w:rPr>
                <w:t>(file</w:t>
              </w:r>
              <w:r>
                <w:rPr>
                  <w:rFonts w:ascii="Times New Roman" w:cs="Times New Roman" w:eastAsia="Times New Roman" w:hAnsi="Times New Roman"/>
                  <w:sz w:val="18"/>
                  <w:szCs w:val="18"/>
                  <w:color w:val="0000FF"/>
                </w:rPr>
                <w:t xml:space="preserve"> no. 001-41247)).</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Secured Convertible Note due 2028 (incorporated by reference to Exhibit 4.1 to the Report on Form 6-K filed on April 12, 2024</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(file no. 001-41247)).</w:t>
              </w:r>
            </w:hyperlink>
          </w:p>
        </w:tc>
        <w:tc>
          <w:tcPr>
            <w:tcW w:w="82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Forward Purchase Contract, dated as of July 5, 2021, by and among CF Acquisition Corp. V, Satellogic Inc. and</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CFAC Holdings V, LLC (incorporated by reference to Exhibit 10.6 to the Report on Form F-4 filed August 12, 2021 (file no. 333-</w:t>
              </w:r>
            </w:hyperlink>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258764)</w:t>
              </w:r>
              <w:r>
                <w:rPr>
                  <w:rFonts w:ascii="Times New Roman" w:cs="Times New Roman" w:eastAsia="Times New Roman" w:hAnsi="Times New Roman"/>
                  <w:sz w:val="18"/>
                  <w:szCs w:val="18"/>
                  <w:u w:val="single" w:color="auto"/>
                  <w:color w:val="0000FF"/>
                  <w:w w:val="96"/>
                </w:rPr>
                <w:t>)</w:t>
              </w:r>
              <w:r>
                <w:rPr>
                  <w:rFonts w:ascii="Times New Roman" w:cs="Times New Roman" w:eastAsia="Times New Roman" w:hAnsi="Times New Roman"/>
                  <w:sz w:val="18"/>
                  <w:szCs w:val="18"/>
                  <w:color w:val="0000FF"/>
                  <w:w w:val="96"/>
                </w:rPr>
                <w:t>.</w:t>
              </w:r>
            </w:hyperlink>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Service and Cooperation Agreement, dated September 22, 2021, by and between Zhong Ke Guang Qi Space</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42"/>
          </w:tcPr>
          <w:p>
            <w:pPr>
              <w:spacing w:after="0" w:line="15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Information Technology Co., Ltd. and Urugus S.A. (incorporated by reference to Exhibit 10.7 to the Report on Form F-4 filed September</w:t>
              </w:r>
            </w:hyperlink>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35"/>
          </w:tcPr>
          <w:p>
            <w:pPr>
              <w:spacing w:after="0" w:line="16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24, 2021 (file no. 333-258764)).</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80" w:type="dxa"/>
            <w:vAlign w:val="bottom"/>
            <w:gridSpan w:val="9"/>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dated March 1, 2020, by and between Nettar Group Inc. (d/b/a Satellogic) and Emiliano Kargieman</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(incorporated by reference to Exhibit 10.9 to the Report on Form F-4 filed October 19, 2021 (file no. 333-258764)).</w:t>
              </w:r>
            </w:hyperlink>
          </w:p>
        </w:tc>
        <w:tc>
          <w:tcPr>
            <w:tcW w:w="68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 xml:space="preserve">Employment Agreement, dated May 8, 2023, by and between Satellogic Inc and Rick Dunn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10.4 to</w:t>
            </w:r>
          </w:p>
        </w:tc>
      </w:tr>
      <w:tr>
        <w:trPr>
          <w:trHeight w:val="225"/>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rPr>
              <w:t>the Annual Report on Form 10-K filed on March 26, 2025 (file no. 001-41247)).</w:t>
            </w:r>
          </w:p>
        </w:tc>
        <w:tc>
          <w:tcPr>
            <w:tcW w:w="212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160" w:type="dxa"/>
            <w:vAlign w:val="bottom"/>
            <w:gridSpan w:val="8"/>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Warrants, dated as of March 8, 2021, between Nettar Group Inc. and Columbia River Investment Limited (incorporated by reference to</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Exhibit 10.10 to the Report on Form F-4 filed October 19, 2021 (file no. 333-258764)).</w:t>
              </w:r>
            </w:hyperlink>
          </w:p>
        </w:tc>
        <w:tc>
          <w:tcPr>
            <w:tcW w:w="3380" w:type="dxa"/>
            <w:vAlign w:val="bottom"/>
            <w:tcBorders>
              <w:top w:val="single" w:sz="8" w:color="0000FF"/>
            </w:tcBorders>
            <w:gridSpan w:val="1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Side Letter Agreement, dated April 5, 2021 between Nettar Group Inc. and Hannover Holdings S.A. (incorporated by reference to Exhibit</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11</w:t>
              </w:r>
              <w:r>
                <w:rPr>
                  <w:rFonts w:ascii="Times New Roman" w:cs="Times New Roman" w:eastAsia="Times New Roman" w:hAnsi="Times New Roman"/>
                  <w:sz w:val="17"/>
                  <w:szCs w:val="17"/>
                  <w:color w:val="0000FF"/>
                </w:rPr>
                <w:t xml:space="preserve"> to the Report on Form F-4 filed November 10, 2021 (file no. 333-258764)).</w:t>
              </w:r>
            </w:hyperlink>
          </w:p>
        </w:tc>
        <w:tc>
          <w:tcPr>
            <w:tcW w:w="404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Loan and Security Agreement, dated as of March 8, 2021, by and among Columbia River Investment Limited and Nettar Group Inc.</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(incorporated by reference to Exhibit 99.1 to the Report on Form 6-K filed on December 10, 2021 (file no. 333-258764)).</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40" w:type="dxa"/>
            <w:vAlign w:val="bottom"/>
            <w:gridSpan w:val="11"/>
            <w:shd w:val="clear" w:color="auto" w:fill="0000FF"/>
          </w:tcPr>
          <w:p>
            <w:pPr>
              <w:spacing w:after="0" w:line="20" w:lineRule="exact"/>
              <w:rPr>
                <w:sz w:val="1"/>
                <w:szCs w:val="1"/>
                <w:color w:val="auto"/>
              </w:rPr>
            </w:pPr>
          </w:p>
        </w:tc>
        <w:tc>
          <w:tcPr>
            <w:tcW w:w="578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Amendment to Loan and Security Agreement, dated as of December 7, 2021, by and among Columbia River Investment Limited and</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Nettar Group Inc. (incorporated by reference to Exhibit 99.2 to the Report on Form 6-K filed on December 10, 2021 (file no. 333-</w:t>
              </w:r>
            </w:hyperlink>
          </w:p>
        </w:tc>
        <w:tc>
          <w:tcPr>
            <w:tcW w:w="220" w:type="dxa"/>
            <w:vAlign w:val="bottom"/>
            <w:gridSpan w:val="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6"/>
              </w:rPr>
            </w:pPr>
            <w:hyperlink r:id="rId153">
              <w:r>
                <w:rPr>
                  <w:rFonts w:ascii="Times New Roman" w:cs="Times New Roman" w:eastAsia="Times New Roman" w:hAnsi="Times New Roman"/>
                  <w:sz w:val="18"/>
                  <w:szCs w:val="18"/>
                  <w:color w:val="0000FF"/>
                  <w:w w:val="96"/>
                </w:rPr>
                <w:t>258764)</w:t>
              </w:r>
              <w:r>
                <w:rPr>
                  <w:rFonts w:ascii="Times New Roman" w:cs="Times New Roman" w:eastAsia="Times New Roman" w:hAnsi="Times New Roman"/>
                  <w:sz w:val="18"/>
                  <w:szCs w:val="18"/>
                  <w:u w:val="single" w:color="auto"/>
                  <w:color w:val="0000FF"/>
                  <w:w w:val="96"/>
                </w:rPr>
                <w:t>)</w:t>
              </w:r>
              <w:r>
                <w:rPr>
                  <w:rFonts w:ascii="Times New Roman" w:cs="Times New Roman" w:eastAsia="Times New Roman" w:hAnsi="Times New Roman"/>
                  <w:sz w:val="18"/>
                  <w:szCs w:val="18"/>
                  <w:color w:val="0000FF"/>
                  <w:w w:val="96"/>
                </w:rPr>
                <w:t>.</w:t>
              </w:r>
            </w:hyperlink>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Escrow Agreement, dated as of January 25, 2022, by and between CF Acquisition Corp. V and Continental Stock Transfer &amp; Trust</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Company (incorporated by reference to Exhibit 10.9 to the Shell Company Report on Form 20-F filed on January 27, 2022 (file no.</w:t>
              </w:r>
            </w:hyperlink>
          </w:p>
        </w:tc>
        <w:tc>
          <w:tcPr>
            <w:tcW w:w="400" w:type="dxa"/>
            <w:vAlign w:val="bottom"/>
            <w:tcBorders>
              <w:bottom w:val="single" w:sz="8" w:color="0000FF"/>
            </w:tcBorders>
            <w:gridSpan w:val="9"/>
          </w:tcPr>
          <w:p>
            <w:pPr>
              <w:jc w:val="right"/>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001-</w:t>
              </w:r>
            </w:hyperlink>
          </w:p>
        </w:tc>
        <w:tc>
          <w:tcPr>
            <w:tcW w:w="220" w:type="dxa"/>
            <w:vAlign w:val="bottom"/>
            <w:gridSpan w:val="11"/>
          </w:tcPr>
          <w:p>
            <w:pPr>
              <w:spacing w:after="0"/>
              <w:rPr>
                <w:sz w:val="13"/>
                <w:szCs w:val="13"/>
                <w:color w:val="auto"/>
              </w:rPr>
            </w:pPr>
          </w:p>
        </w:tc>
      </w:tr>
      <w:tr>
        <w:trPr>
          <w:trHeight w:val="166"/>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0000FF"/>
            </w:tcBorders>
            <w:gridSpan w:val="2"/>
          </w:tcPr>
          <w:p>
            <w:pPr>
              <w:spacing w:after="0" w:line="166" w:lineRule="exact"/>
              <w:rPr>
                <w:rFonts w:ascii="Times New Roman" w:cs="Times New Roman" w:eastAsia="Times New Roman" w:hAnsi="Times New Roman"/>
                <w:sz w:val="18"/>
                <w:szCs w:val="18"/>
                <w:color w:val="0000FF"/>
                <w:w w:val="94"/>
              </w:rPr>
            </w:pPr>
            <w:hyperlink r:id="rId154">
              <w:r>
                <w:rPr>
                  <w:rFonts w:ascii="Times New Roman" w:cs="Times New Roman" w:eastAsia="Times New Roman" w:hAnsi="Times New Roman"/>
                  <w:sz w:val="18"/>
                  <w:szCs w:val="18"/>
                  <w:color w:val="0000FF"/>
                  <w:w w:val="94"/>
                </w:rPr>
                <w:t>41247)</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4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PIPE Subscription Agreement (incorporated by reference to Exhibit 10.1 to the Registration Statement on Form F-4 filed on</w:t>
              </w:r>
            </w:hyperlink>
          </w:p>
        </w:tc>
      </w:tr>
      <w:tr>
        <w:trPr>
          <w:trHeight w:val="153"/>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August 12, 2021 (file no. 333-258764)).</w:t>
              </w:r>
            </w:hyperlink>
          </w:p>
        </w:tc>
        <w:tc>
          <w:tcPr>
            <w:tcW w:w="480" w:type="dxa"/>
            <w:vAlign w:val="bottom"/>
            <w:gridSpan w:val="18"/>
          </w:tcPr>
          <w:p>
            <w:pPr>
              <w:spacing w:after="0"/>
              <w:rPr>
                <w:sz w:val="13"/>
                <w:szCs w:val="13"/>
                <w:color w:val="auto"/>
              </w:rPr>
            </w:pPr>
          </w:p>
        </w:tc>
      </w:tr>
      <w:tr>
        <w:trPr>
          <w:trHeight w:val="926"/>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top w:val="single" w:sz="8" w:color="0000FF"/>
            </w:tcBorders>
            <w:gridSpan w:val="13"/>
          </w:tcPr>
          <w:p>
            <w:pPr>
              <w:spacing w:after="0"/>
              <w:rPr>
                <w:sz w:val="24"/>
                <w:szCs w:val="24"/>
                <w:color w:val="auto"/>
              </w:rPr>
            </w:pPr>
          </w:p>
        </w:tc>
        <w:tc>
          <w:tcPr>
            <w:tcW w:w="2960" w:type="dxa"/>
            <w:vAlign w:val="bottom"/>
            <w:gridSpan w:val="2"/>
          </w:tcPr>
          <w:p>
            <w:pPr>
              <w:jc w:val="right"/>
              <w:ind w:right="1311"/>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-4369435</wp:posOffset>
            </wp:positionV>
            <wp:extent cx="374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Subscription Agreement, dated as of January 18, 2022 by and among CF Acquisition Corp. V, Satellogic Inc., and Liberty Strategic</w:t>
              </w:r>
            </w:hyperlink>
          </w:p>
        </w:tc>
      </w:tr>
      <w:tr>
        <w:trPr>
          <w:trHeight w:val="153"/>
        </w:trPr>
        <w:tc>
          <w:tcPr>
            <w:tcW w:w="136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Capital (SATL) Holdings, LLC (incorporated by reference to Exhibit 99.2 to the Report on Form 6-K filed on January 18, 2022 (file</w:t>
              </w:r>
            </w:hyperlink>
          </w:p>
        </w:tc>
        <w:tc>
          <w:tcPr>
            <w:tcW w:w="40" w:type="dxa"/>
            <w:vAlign w:val="bottom"/>
          </w:tcPr>
          <w:p>
            <w:pPr>
              <w:spacing w:after="0"/>
              <w:rPr>
                <w:sz w:val="13"/>
                <w:szCs w:val="13"/>
                <w:color w:val="auto"/>
              </w:rPr>
            </w:pPr>
          </w:p>
        </w:tc>
        <w:tc>
          <w:tcPr>
            <w:tcW w:w="480" w:type="dxa"/>
            <w:vAlign w:val="bottom"/>
            <w:gridSpan w:val="15"/>
          </w:tcPr>
          <w:p>
            <w:pPr>
              <w:ind w:left="20"/>
              <w:spacing w:after="0" w:line="15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no.</w:t>
              </w:r>
            </w:hyperlink>
          </w:p>
        </w:tc>
      </w:tr>
      <w:tr>
        <w:trPr>
          <w:trHeight w:val="166"/>
        </w:trPr>
        <w:tc>
          <w:tcPr>
            <w:tcW w:w="136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333-258764)).</w:t>
              </w:r>
            </w:hyperlink>
          </w:p>
        </w:tc>
        <w:tc>
          <w:tcPr>
            <w:tcW w:w="1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gridSpan w:val="38"/>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Letter Agreement, dated as of January 18, 2022 by and among Satellogic Inc., Liberty Strategic Capital (SATL) Holdings, LLC and CFAC</w:t>
              </w:r>
            </w:hyperlink>
          </w:p>
        </w:tc>
      </w:tr>
      <w:tr>
        <w:trPr>
          <w:trHeight w:val="153"/>
        </w:trPr>
        <w:tc>
          <w:tcPr>
            <w:tcW w:w="13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Holdings V, LLC (incorporated by reference to Exhibit 99.3 to the Report on Form 6-K filed on January 18, 2022 (file no. 333-258764)).</w:t>
              </w:r>
            </w:hyperlink>
          </w:p>
        </w:tc>
        <w:tc>
          <w:tcPr>
            <w:tcW w:w="6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gridSpan w:val="38"/>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Amended and Restated Letter Agreement, dated as of February 10, 2022 by and among Satellogic Inc., Liberty Strategic Capital (SATL)</w:t>
              </w:r>
            </w:hyperlink>
          </w:p>
        </w:tc>
      </w:tr>
      <w:tr>
        <w:trPr>
          <w:trHeight w:val="153"/>
        </w:trPr>
        <w:tc>
          <w:tcPr>
            <w:tcW w:w="136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Holdings, LLC and CFAC Holdings V, LLC (incorporated by reference to Exhibit 10.16 to the Registration Statement on Form F-1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6"/>
        </w:trPr>
        <w:tc>
          <w:tcPr>
            <w:tcW w:w="136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on February 14, 2022 (file no. 333-262699)).</w:t>
              </w:r>
            </w:hyperlink>
          </w:p>
        </w:tc>
        <w:tc>
          <w:tcPr>
            <w:tcW w:w="64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Amended and Restated 2021 Incentive Compensation Plan (incorporated by reference to Appendix A to the Definitive Proxy</w:t>
              </w:r>
            </w:hyperlink>
          </w:p>
        </w:tc>
      </w:tr>
      <w:tr>
        <w:trPr>
          <w:trHeight w:val="153"/>
        </w:trPr>
        <w:tc>
          <w:tcPr>
            <w:tcW w:w="13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 xml:space="preserve">Statement filed on </w:t>
              </w:r>
            </w:hyperlink>
            <w:r>
              <w:rPr>
                <w:rFonts w:ascii="Times New Roman" w:cs="Times New Roman" w:eastAsia="Times New Roman" w:hAnsi="Times New Roman"/>
                <w:sz w:val="17"/>
                <w:szCs w:val="17"/>
                <w:color w:val="0000FF"/>
              </w:rPr>
              <w:t xml:space="preserve">October </w:t>
            </w:r>
            <w:hyperlink r:id="rId162">
              <w:r>
                <w:rPr>
                  <w:rFonts w:ascii="Times New Roman" w:cs="Times New Roman" w:eastAsia="Times New Roman" w:hAnsi="Times New Roman"/>
                  <w:sz w:val="17"/>
                  <w:szCs w:val="17"/>
                  <w:color w:val="0000FF"/>
                </w:rPr>
                <w:t>21, 2025 (file no. 001-41247)).</w:t>
              </w:r>
            </w:hyperlink>
          </w:p>
        </w:tc>
        <w:tc>
          <w:tcPr>
            <w:tcW w:w="5280" w:type="dxa"/>
            <w:vAlign w:val="bottom"/>
            <w:tcBorders>
              <w:top w:val="single" w:sz="8" w:color="0000FF"/>
            </w:tcBorders>
            <w:gridSpan w:val="16"/>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Warrant Agreement, dated February 10, 2022, by and between Satellogic Inc. and Continental Stock Transfer &amp; Trust Company, as</w:t>
              </w:r>
            </w:hyperlink>
          </w:p>
        </w:tc>
      </w:tr>
      <w:tr>
        <w:trPr>
          <w:trHeight w:val="153"/>
        </w:trPr>
        <w:tc>
          <w:tcPr>
            <w:tcW w:w="136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 xml:space="preserve">warrant agent for the warrants exercisable at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10.00 per Class A Ordinary Share and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15.00 per Class A Ordinary Share (incorporated</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12"/>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by</w:t>
              </w:r>
            </w:hyperlink>
          </w:p>
        </w:tc>
      </w:tr>
      <w:tr>
        <w:trPr>
          <w:trHeight w:val="166"/>
        </w:trPr>
        <w:tc>
          <w:tcPr>
            <w:tcW w:w="1360" w:type="dxa"/>
            <w:vAlign w:val="bottom"/>
          </w:tcPr>
          <w:p>
            <w:pPr>
              <w:spacing w:after="0"/>
              <w:rPr>
                <w:sz w:val="14"/>
                <w:szCs w:val="14"/>
                <w:color w:val="auto"/>
              </w:rPr>
            </w:pPr>
          </w:p>
        </w:tc>
        <w:tc>
          <w:tcPr>
            <w:tcW w:w="9780" w:type="dxa"/>
            <w:vAlign w:val="bottom"/>
            <w:tcBorders>
              <w:top w:val="single" w:sz="8" w:color="0000FF"/>
            </w:tcBorders>
            <w:gridSpan w:val="34"/>
          </w:tcPr>
          <w:p>
            <w:pPr>
              <w:spacing w:after="0" w:line="16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reference to Exhibit 10.18 to the Registration Statement on Form F-1 filed on February 14, 2022 (file no. 333-262699)).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Warrant Agreement, dated February 10, 2022, by and between Satellogic Inc. and Continental Stock Transfer &amp; Trust Company, as</w:t>
              </w:r>
            </w:hyperlink>
          </w:p>
        </w:tc>
      </w:tr>
      <w:tr>
        <w:trPr>
          <w:trHeight w:val="153"/>
        </w:trPr>
        <w:tc>
          <w:tcPr>
            <w:tcW w:w="136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 xml:space="preserve">warrant agent for the warrants exercisable at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10.00 per Class A Ordinary Share (incorporated by reference to Exhibit 10.19 to the</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6"/>
        </w:trPr>
        <w:tc>
          <w:tcPr>
            <w:tcW w:w="1360" w:type="dxa"/>
            <w:vAlign w:val="bottom"/>
          </w:tcPr>
          <w:p>
            <w:pPr>
              <w:spacing w:after="0"/>
              <w:rPr>
                <w:sz w:val="14"/>
                <w:szCs w:val="14"/>
                <w:color w:val="auto"/>
              </w:rPr>
            </w:pPr>
          </w:p>
        </w:tc>
        <w:tc>
          <w:tcPr>
            <w:tcW w:w="9260" w:type="dxa"/>
            <w:vAlign w:val="bottom"/>
            <w:tcBorders>
              <w:top w:val="single" w:sz="8" w:color="0000FF"/>
            </w:tcBorders>
            <w:gridSpan w:val="18"/>
          </w:tcPr>
          <w:p>
            <w:pPr>
              <w:spacing w:after="0" w:line="16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Registration Statement on Form F-1 filed on February 14, 2022 (file no. 333-262699)).</w:t>
              </w:r>
            </w:hyperlink>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gridSpan w:val="38"/>
          </w:tcPr>
          <w:p>
            <w:pPr>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Warrant Agreement, dated January 25, 2022, by and between Satellogic Inc. and Continental Stock Transfer &amp; Trust Company, as warrant</w:t>
              </w:r>
            </w:hyperlink>
          </w:p>
        </w:tc>
      </w:tr>
      <w:tr>
        <w:trPr>
          <w:trHeight w:val="153"/>
        </w:trPr>
        <w:tc>
          <w:tcPr>
            <w:tcW w:w="1360" w:type="dxa"/>
            <w:vAlign w:val="bottom"/>
          </w:tcPr>
          <w:p>
            <w:pPr>
              <w:spacing w:after="0"/>
              <w:rPr>
                <w:sz w:val="13"/>
                <w:szCs w:val="13"/>
                <w:color w:val="auto"/>
              </w:rPr>
            </w:pPr>
          </w:p>
        </w:tc>
        <w:tc>
          <w:tcPr>
            <w:tcW w:w="980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 xml:space="preserve">agent for warrants exercisable at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20.00 per Class A Ordinary Share (incorporated by reference to Exhibit 10.20 to the Registration</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6"/>
        </w:trPr>
        <w:tc>
          <w:tcPr>
            <w:tcW w:w="1360" w:type="dxa"/>
            <w:vAlign w:val="bottom"/>
          </w:tcPr>
          <w:p>
            <w:pPr>
              <w:spacing w:after="0"/>
              <w:rPr>
                <w:sz w:val="14"/>
                <w:szCs w:val="14"/>
                <w:color w:val="auto"/>
              </w:rPr>
            </w:pPr>
          </w:p>
        </w:tc>
        <w:tc>
          <w:tcPr>
            <w:tcW w:w="5260" w:type="dxa"/>
            <w:vAlign w:val="bottom"/>
            <w:tcBorders>
              <w:top w:val="single" w:sz="8" w:color="0000FF"/>
              <w:bottom w:val="single" w:sz="8" w:color="0000FF"/>
            </w:tcBorders>
            <w:gridSpan w:val="9"/>
          </w:tcPr>
          <w:p>
            <w:pPr>
              <w:spacing w:after="0" w:line="16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Statement on Form F-1 filed on February 14, 2022 (file no. 333-262699)).</w:t>
              </w:r>
            </w:hyperlink>
          </w:p>
        </w:tc>
        <w:tc>
          <w:tcPr>
            <w:tcW w:w="4080" w:type="dxa"/>
            <w:vAlign w:val="bottom"/>
            <w:tcBorders>
              <w:top w:val="single" w:sz="8" w:color="0000FF"/>
            </w:tcBorders>
            <w:gridSpan w:val="12"/>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Restricted Stock Unit Award Agreement (incorporated by reference to Exhibit 10.18 to the Form 20-F filed on April 27, 2023</w:t>
              </w:r>
            </w:hyperlink>
          </w:p>
        </w:tc>
      </w:tr>
      <w:tr>
        <w:trPr>
          <w:trHeight w:val="153"/>
        </w:trPr>
        <w:tc>
          <w:tcPr>
            <w:tcW w:w="136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(file no. 001-41247)).</w:t>
              </w:r>
            </w:hyperlink>
          </w:p>
        </w:tc>
        <w:tc>
          <w:tcPr>
            <w:tcW w:w="7980" w:type="dxa"/>
            <w:vAlign w:val="bottom"/>
            <w:tcBorders>
              <w:top w:val="single" w:sz="8" w:color="0000FF"/>
            </w:tcBorders>
            <w:gridSpan w:val="2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80" w:type="dxa"/>
            <w:vAlign w:val="bottom"/>
            <w:gridSpan w:val="3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Note Purchase Agreement (incorporated by reference to Exhibit 10.1 to the Report on Form 6-K filed on April 12, 2024 (file no.</w:t>
              </w:r>
            </w:hyperlink>
          </w:p>
        </w:tc>
      </w:tr>
      <w:tr>
        <w:trPr>
          <w:trHeight w:val="153"/>
        </w:trPr>
        <w:tc>
          <w:tcPr>
            <w:tcW w:w="136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001-41247)).</w:t>
              </w:r>
            </w:hyperlink>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Side Letter (incorporated by reference to Exhibit 10.2 to the Report on Form 6-K filed on April 12, 2024 (file no. 001-41247)).</w:t>
              </w:r>
            </w:hyperlink>
          </w:p>
        </w:tc>
      </w:tr>
      <w:tr>
        <w:trPr>
          <w:trHeight w:val="20"/>
        </w:trPr>
        <w:tc>
          <w:tcPr>
            <w:tcW w:w="13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80" w:type="dxa"/>
            <w:vAlign w:val="bottom"/>
            <w:gridSpan w:val="38"/>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Registration Rights Agreement (incorporated by reference to Exhibit 10.3 to the Report on Form 6-K filed on April 12, 2024 (file</w:t>
              </w:r>
            </w:hyperlink>
          </w:p>
        </w:tc>
      </w:tr>
      <w:tr>
        <w:trPr>
          <w:trHeight w:val="153"/>
        </w:trPr>
        <w:tc>
          <w:tcPr>
            <w:tcW w:w="136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no. 001-41247)).</w:t>
              </w:r>
            </w:hyperlink>
          </w:p>
        </w:tc>
        <w:tc>
          <w:tcPr>
            <w:tcW w:w="8620" w:type="dxa"/>
            <w:vAlign w:val="bottom"/>
            <w:tcBorders>
              <w:top w:val="single" w:sz="8" w:color="0000FF"/>
            </w:tcBorders>
            <w:gridSpan w:val="3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Share Purchase Agreement, dated December 8, 2024, by and between Satellogic Inc. and the purchaser set forth therein (incorporated by</w:t>
              </w:r>
            </w:hyperlink>
          </w:p>
        </w:tc>
      </w:tr>
      <w:tr>
        <w:trPr>
          <w:trHeight w:val="153"/>
        </w:trPr>
        <w:tc>
          <w:tcPr>
            <w:tcW w:w="136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reference to Exhibit 10.22 to the Registration Statement on Form F-4 filed on February 14, 2025 (file no. 256-30605)).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Second Amended and Restated Sales Agreement, dated April 9, 2025, by and among Satellogic Inc., Cantor Fitzgerald &amp; Co. and</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53"/>
        </w:trPr>
        <w:tc>
          <w:tcPr>
            <w:tcW w:w="1360" w:type="dxa"/>
            <w:vAlign w:val="bottom"/>
          </w:tcPr>
          <w:p>
            <w:pPr>
              <w:spacing w:after="0"/>
              <w:rPr>
                <w:sz w:val="13"/>
                <w:szCs w:val="13"/>
                <w:color w:val="auto"/>
              </w:rPr>
            </w:pPr>
          </w:p>
        </w:tc>
        <w:tc>
          <w:tcPr>
            <w:tcW w:w="9880" w:type="dxa"/>
            <w:vAlign w:val="bottom"/>
            <w:gridSpan w:val="38"/>
          </w:tcPr>
          <w:p>
            <w:pPr>
              <w:spacing w:after="0" w:line="15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Northland Securities, Inc. (incorporated by reference to Exhibit 10.1 to the Current Report on Form 8-K filed on April 10, 2025 (file no.</w:t>
              </w:r>
            </w:hyperlink>
          </w:p>
        </w:tc>
      </w:tr>
      <w:tr>
        <w:trPr>
          <w:trHeight w:val="166"/>
        </w:trPr>
        <w:tc>
          <w:tcPr>
            <w:tcW w:w="136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001-41247)).</w:t>
              </w:r>
            </w:hyperlink>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Securities Purchase Agreement, dated April 15, 2025, by and among Satellogic Inc. and the purchaser party thereto (incorporated by</w:t>
              </w:r>
            </w:hyperlink>
          </w:p>
        </w:tc>
      </w:tr>
      <w:tr>
        <w:trPr>
          <w:trHeight w:val="153"/>
        </w:trPr>
        <w:tc>
          <w:tcPr>
            <w:tcW w:w="136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reference to Exhibit 10.1 to the Current Report on Form 8-K filed on April 15, 2025 (file no. 001-41247)).</w:t>
              </w:r>
            </w:hyperlink>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Placement Agent Agreement, dated April 15, 2025, by and between Satellogic Inc. and Cantor Fitzgerald &amp; Co. (incorporated by</w:t>
              </w:r>
            </w:hyperlink>
          </w:p>
        </w:tc>
      </w:tr>
      <w:tr>
        <w:trPr>
          <w:trHeight w:val="153"/>
        </w:trPr>
        <w:tc>
          <w:tcPr>
            <w:tcW w:w="13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reference to Exhibit 10.2 to the Current Report on Form 8-K filed on April 15, 2025 (file no. 001-41247)).</w:t>
              </w:r>
            </w:hyperlink>
          </w:p>
        </w:tc>
        <w:tc>
          <w:tcPr>
            <w:tcW w:w="40" w:type="dxa"/>
            <w:vAlign w:val="bottom"/>
          </w:tcPr>
          <w:p>
            <w:pPr>
              <w:spacing w:after="0"/>
              <w:rPr>
                <w:sz w:val="13"/>
                <w:szCs w:val="13"/>
                <w:color w:val="auto"/>
              </w:rPr>
            </w:pPr>
          </w:p>
        </w:tc>
        <w:tc>
          <w:tcPr>
            <w:tcW w:w="3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Sales Agreement, dated February 12, 2025 by and among Satellogic Inc., Cantor Fitzgerald &amp; Co. and Northland</w:t>
              </w:r>
            </w:hyperlink>
          </w:p>
        </w:tc>
      </w:tr>
      <w:tr>
        <w:trPr>
          <w:trHeight w:val="153"/>
        </w:trPr>
        <w:tc>
          <w:tcPr>
            <w:tcW w:w="136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Securities, Inc. (incorporated by reference to Exhibit 10.1 to the Report on Form 6-K filed on February 13, 2025 (file no. 001-41247)).</w:t>
              </w:r>
            </w:hyperlink>
          </w:p>
        </w:tc>
        <w:tc>
          <w:tcPr>
            <w:tcW w:w="140" w:type="dxa"/>
            <w:vAlign w:val="bottom"/>
            <w:tcBorders>
              <w:top w:val="single" w:sz="8" w:color="0000FF"/>
            </w:tcBorders>
            <w:gridSpan w:val="7"/>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Securities Purchase Agreement, dated January 26, 2026, by and among Satellogic Inc. and the purchasers party thereto</w:t>
              </w:r>
            </w:hyperlink>
          </w:p>
        </w:tc>
      </w:tr>
      <w:tr>
        <w:trPr>
          <w:trHeight w:val="153"/>
        </w:trPr>
        <w:tc>
          <w:tcPr>
            <w:tcW w:w="136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(incorporated by reference to Exhibit 10.1 to the Current Report on Form 8-K filed on January 27, 2026 (file no. 001-41247)).</w:t>
              </w:r>
            </w:hyperlink>
          </w:p>
        </w:tc>
        <w:tc>
          <w:tcPr>
            <w:tcW w:w="200" w:type="dxa"/>
            <w:vAlign w:val="bottom"/>
            <w:gridSpan w:val="2"/>
          </w:tcPr>
          <w:p>
            <w:pPr>
              <w:spacing w:after="0"/>
              <w:rPr>
                <w:sz w:val="13"/>
                <w:szCs w:val="13"/>
                <w:color w:val="auto"/>
              </w:rPr>
            </w:pPr>
          </w:p>
        </w:tc>
        <w:tc>
          <w:tcPr>
            <w:tcW w:w="42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00" w:type="dxa"/>
            <w:vAlign w:val="bottom"/>
            <w:gridSpan w:val="8"/>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7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Placement Agent Agreement, dated January 26, 2026, by and between Satellogic Inc. and Titan Partners Group LLC, a division of</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300" w:type="dxa"/>
            <w:vAlign w:val="bottom"/>
            <w:gridSpan w:val="11"/>
            <w:shd w:val="clear" w:color="auto" w:fill="0000FF"/>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53"/>
        </w:trPr>
        <w:tc>
          <w:tcPr>
            <w:tcW w:w="1360" w:type="dxa"/>
            <w:vAlign w:val="bottom"/>
          </w:tcPr>
          <w:p>
            <w:pPr>
              <w:spacing w:after="0"/>
              <w:rPr>
                <w:sz w:val="13"/>
                <w:szCs w:val="13"/>
                <w:color w:val="auto"/>
              </w:rPr>
            </w:pPr>
          </w:p>
        </w:tc>
        <w:tc>
          <w:tcPr>
            <w:tcW w:w="9880" w:type="dxa"/>
            <w:vAlign w:val="bottom"/>
            <w:gridSpan w:val="38"/>
          </w:tcPr>
          <w:p>
            <w:pPr>
              <w:spacing w:after="0" w:line="15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American Capital Partners, LLC (incorporated by reference to Exhibit 10.2 to the Current Report on Form 8-K filed on January 27, 2026</w:t>
              </w:r>
            </w:hyperlink>
          </w:p>
        </w:tc>
      </w:tr>
      <w:tr>
        <w:trPr>
          <w:trHeight w:val="166"/>
        </w:trPr>
        <w:tc>
          <w:tcPr>
            <w:tcW w:w="136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(file no. 001-41247)).</w:t>
              </w:r>
            </w:hyperlink>
          </w:p>
        </w:tc>
        <w:tc>
          <w:tcPr>
            <w:tcW w:w="8200" w:type="dxa"/>
            <w:vAlign w:val="bottom"/>
            <w:tcBorders>
              <w:top w:val="single" w:sz="8" w:color="0000FF"/>
            </w:tcBorders>
            <w:gridSpan w:val="28"/>
          </w:tcPr>
          <w:p>
            <w:pPr>
              <w:spacing w:after="0"/>
              <w:rPr>
                <w:sz w:val="14"/>
                <w:szCs w:val="14"/>
                <w:color w:val="auto"/>
              </w:rPr>
            </w:pPr>
          </w:p>
        </w:tc>
        <w:tc>
          <w:tcPr>
            <w:tcW w:w="140" w:type="dxa"/>
            <w:vAlign w:val="bottom"/>
            <w:gridSpan w:val="6"/>
          </w:tcPr>
          <w:p>
            <w:pPr>
              <w:spacing w:after="0"/>
              <w:rPr>
                <w:sz w:val="14"/>
                <w:szCs w:val="14"/>
                <w:color w:val="auto"/>
              </w:rPr>
            </w:pPr>
          </w:p>
        </w:tc>
      </w:tr>
      <w:tr>
        <w:trPr>
          <w:trHeight w:val="26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80" w:type="dxa"/>
            <w:vAlign w:val="bottom"/>
            <w:gridSpan w:val="38"/>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Indemnification Agreement (incorporated by reference to Exhibit 10.24 to the Annual Report on Form 10-K filed on March 26,</w:t>
              </w:r>
            </w:hyperlink>
          </w:p>
        </w:tc>
      </w:tr>
      <w:tr>
        <w:trPr>
          <w:trHeight w:val="153"/>
        </w:trPr>
        <w:tc>
          <w:tcPr>
            <w:tcW w:w="13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2025 (file no. 001-41247)).</w:t>
              </w:r>
            </w:hyperlink>
          </w:p>
        </w:tc>
        <w:tc>
          <w:tcPr>
            <w:tcW w:w="7720" w:type="dxa"/>
            <w:vAlign w:val="bottom"/>
            <w:tcBorders>
              <w:top w:val="single" w:sz="8" w:color="0000FF"/>
            </w:tcBorders>
            <w:gridSpan w:val="22"/>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926"/>
        </w:trPr>
        <w:tc>
          <w:tcPr>
            <w:tcW w:w="1360" w:type="dxa"/>
            <w:vAlign w:val="bottom"/>
          </w:tcPr>
          <w:p>
            <w:pPr>
              <w:spacing w:after="0"/>
              <w:rPr>
                <w:sz w:val="24"/>
                <w:szCs w:val="24"/>
                <w:color w:val="auto"/>
              </w:rPr>
            </w:pPr>
          </w:p>
        </w:tc>
        <w:tc>
          <w:tcPr>
            <w:tcW w:w="5260" w:type="dxa"/>
            <w:vAlign w:val="bottom"/>
            <w:gridSpan w:val="9"/>
          </w:tcPr>
          <w:p>
            <w:pPr>
              <w:ind w:left="4140"/>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4" w:name="page115"/>
    <w:bookmarkEnd w:id="114"/>
    <w:tbl>
      <w:tblPr>
        <w:tblLayout w:type="fixed"/>
        <w:tblInd w:w="20" w:type="dxa"/>
        <w:tblCellMar>
          <w:top w:w="0" w:type="dxa"/>
          <w:left w:w="0" w:type="dxa"/>
          <w:bottom w:w="0" w:type="dxa"/>
          <w:right w:w="0" w:type="dxa"/>
        </w:tblCellMar>
      </w:tblPr>
      <w:tr>
        <w:trPr>
          <w:trHeight w:val="22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5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Employment Agreement, dated August 30, 2023 by and between Satellogic Inc. and Matt Tirman (incorporated by reference to Exhibit</w:t>
              </w:r>
            </w:hyperlink>
          </w:p>
        </w:tc>
      </w:tr>
      <w:tr>
        <w:trPr>
          <w:trHeight w:val="133"/>
        </w:trPr>
        <w:tc>
          <w:tcPr>
            <w:tcW w:w="1340" w:type="dxa"/>
            <w:vAlign w:val="bottom"/>
          </w:tcPr>
          <w:p>
            <w:pPr>
              <w:spacing w:after="0"/>
              <w:rPr>
                <w:sz w:val="11"/>
                <w:szCs w:val="11"/>
                <w:color w:val="auto"/>
              </w:rPr>
            </w:pPr>
          </w:p>
        </w:tc>
        <w:tc>
          <w:tcPr>
            <w:tcW w:w="6340" w:type="dxa"/>
            <w:vAlign w:val="bottom"/>
            <w:tcBorders>
              <w:bottom w:val="single" w:sz="8" w:color="0000FF"/>
            </w:tcBorders>
          </w:tcPr>
          <w:p>
            <w:pPr>
              <w:spacing w:after="0" w:line="133"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25</w:t>
              </w:r>
              <w:r>
                <w:rPr>
                  <w:rFonts w:ascii="Times New Roman" w:cs="Times New Roman" w:eastAsia="Times New Roman" w:hAnsi="Times New Roman"/>
                  <w:sz w:val="14"/>
                  <w:szCs w:val="14"/>
                  <w:color w:val="0000FF"/>
                </w:rPr>
                <w:t xml:space="preserve"> to the Annual Report on Form 10-K filed on March 26, 2025 (file no. 001-41247)).</w:t>
              </w:r>
            </w:hyperlink>
          </w:p>
        </w:tc>
        <w:tc>
          <w:tcPr>
            <w:tcW w:w="620" w:type="dxa"/>
            <w:vAlign w:val="bottom"/>
          </w:tcPr>
          <w:p>
            <w:pPr>
              <w:spacing w:after="0"/>
              <w:rPr>
                <w:sz w:val="11"/>
                <w:szCs w:val="11"/>
                <w:color w:val="auto"/>
              </w:rPr>
            </w:pPr>
          </w:p>
        </w:tc>
        <w:tc>
          <w:tcPr>
            <w:tcW w:w="2620" w:type="dxa"/>
            <w:vAlign w:val="bottom"/>
          </w:tcPr>
          <w:p>
            <w:pPr>
              <w:spacing w:after="0"/>
              <w:rPr>
                <w:sz w:val="11"/>
                <w:szCs w:val="11"/>
                <w:color w:val="auto"/>
              </w:rPr>
            </w:pPr>
          </w:p>
        </w:tc>
      </w:tr>
    </w:tbl>
    <w:p>
      <w:pPr>
        <w:spacing w:after="0" w:line="88" w:lineRule="exact"/>
        <w:rPr>
          <w:sz w:val="20"/>
          <w:szCs w:val="20"/>
          <w:color w:val="auto"/>
        </w:rPr>
      </w:pPr>
    </w:p>
    <w:p>
      <w:pPr>
        <w:ind w:left="1360" w:hanging="1336"/>
        <w:spacing w:after="0" w:line="234" w:lineRule="auto"/>
        <w:tabs>
          <w:tab w:leader="none" w:pos="1360" w:val="left"/>
        </w:tabs>
        <w:numPr>
          <w:ilvl w:val="0"/>
          <w:numId w:val="55"/>
        </w:numPr>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Insider Trading Policy (incorporated by reference to Exhibit 19 to the Annual Report on Form 10-K filed on March 26, 2025 (file no. 001-</w:t>
        </w:r>
      </w:hyperlink>
      <w:hyperlink r:id="rId181">
        <w:r>
          <w:rPr>
            <w:rFonts w:ascii="Times New Roman" w:cs="Times New Roman" w:eastAsia="Times New Roman" w:hAnsi="Times New Roman"/>
            <w:sz w:val="18"/>
            <w:szCs w:val="18"/>
            <w:u w:val="single" w:color="auto"/>
            <w:color w:val="0000FF"/>
          </w:rPr>
          <w:t>41247)).</w:t>
        </w:r>
      </w:hyperlink>
    </w:p>
    <w:p>
      <w:pPr>
        <w:spacing w:after="0" w:line="47"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List of Significant Subsidiaries</w:t>
            </w:r>
          </w:p>
        </w:tc>
        <w:tc>
          <w:tcPr>
            <w:tcW w:w="7480" w:type="dxa"/>
            <w:vAlign w:val="bottom"/>
            <w:gridSpan w:val="7"/>
          </w:tcPr>
          <w:p>
            <w:pPr>
              <w:spacing w:after="0"/>
              <w:rPr>
                <w:sz w:val="17"/>
                <w:szCs w:val="17"/>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Consent of Ernst &amp; Young LLP</w:t>
            </w:r>
          </w:p>
        </w:tc>
        <w:tc>
          <w:tcPr>
            <w:tcW w:w="7440" w:type="dxa"/>
            <w:vAlign w:val="bottom"/>
            <w:gridSpan w:val="6"/>
          </w:tcPr>
          <w:p>
            <w:pPr>
              <w:spacing w:after="0"/>
              <w:rPr>
                <w:sz w:val="22"/>
                <w:szCs w:val="22"/>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24.1 *</w:t>
            </w:r>
          </w:p>
        </w:tc>
        <w:tc>
          <w:tcPr>
            <w:tcW w:w="6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Power of Attorney (included on the signature page of this Annual Report on Form 10-K).</w:t>
            </w:r>
          </w:p>
        </w:tc>
        <w:tc>
          <w:tcPr>
            <w:tcW w:w="3340" w:type="dxa"/>
            <w:vAlign w:val="bottom"/>
            <w:gridSpan w:val="5"/>
          </w:tcPr>
          <w:p>
            <w:pPr>
              <w:spacing w:after="0"/>
              <w:rPr>
                <w:sz w:val="22"/>
                <w:szCs w:val="22"/>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2560" w:type="dxa"/>
            <w:vAlign w:val="bottom"/>
            <w:gridSpan w:val="2"/>
          </w:tcPr>
          <w:p>
            <w:pPr>
              <w:spacing w:after="0"/>
              <w:rPr>
                <w:sz w:val="22"/>
                <w:szCs w:val="22"/>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40" w:type="dxa"/>
            <w:vAlign w:val="bottom"/>
            <w:tcBorders>
              <w:top w:val="single" w:sz="8" w:color="0000FF"/>
            </w:tcBorders>
            <w:gridSpan w:val="2"/>
          </w:tcPr>
          <w:p>
            <w:pPr>
              <w:spacing w:after="0"/>
              <w:rPr>
                <w:sz w:val="22"/>
                <w:szCs w:val="22"/>
                <w:color w:val="auto"/>
              </w:rPr>
            </w:pPr>
          </w:p>
        </w:tc>
        <w:tc>
          <w:tcPr>
            <w:tcW w:w="2560" w:type="dxa"/>
            <w:vAlign w:val="bottom"/>
            <w:gridSpan w:val="2"/>
          </w:tcPr>
          <w:p>
            <w:pPr>
              <w:spacing w:after="0"/>
              <w:rPr>
                <w:sz w:val="22"/>
                <w:szCs w:val="22"/>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80" w:type="dxa"/>
            <w:vAlign w:val="bottom"/>
            <w:gridSpan w:val="9"/>
          </w:tcPr>
          <w:p>
            <w:pPr>
              <w:spacing w:after="0"/>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Satellogic Inc. Clawback Policy (incorporated by reference to Exhibit 97.1 to the Annual Report on Form 10-K filed on March 26, 2025</w:t>
              </w:r>
            </w:hyperlink>
          </w:p>
        </w:tc>
      </w:tr>
      <w:tr>
        <w:trPr>
          <w:trHeight w:val="153"/>
        </w:trPr>
        <w:tc>
          <w:tcPr>
            <w:tcW w:w="134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(file no. 001-41247)).</w:t>
              </w:r>
            </w:hyperlink>
          </w:p>
        </w:tc>
        <w:tc>
          <w:tcPr>
            <w:tcW w:w="8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2"/>
        </w:trPr>
        <w:tc>
          <w:tcPr>
            <w:tcW w:w="134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7" w:lineRule="exact"/>
        <w:rPr>
          <w:sz w:val="20"/>
          <w:szCs w:val="20"/>
          <w:color w:val="auto"/>
        </w:rPr>
      </w:pPr>
    </w:p>
    <w:p>
      <w:pPr>
        <w:ind w:left="1360" w:hanging="1336"/>
        <w:spacing w:after="0"/>
        <w:tabs>
          <w:tab w:leader="none" w:pos="1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1360" w:hanging="1336"/>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contracts and compensatory plans and arrangements</w:t>
      </w:r>
    </w:p>
    <w:p>
      <w:pPr>
        <w:spacing w:after="0" w:line="19" w:lineRule="exact"/>
        <w:rPr>
          <w:sz w:val="20"/>
          <w:szCs w:val="20"/>
          <w:color w:val="auto"/>
        </w:rPr>
      </w:pPr>
    </w:p>
    <w:p>
      <w:pPr>
        <w:ind w:left="1360" w:right="820" w:hanging="1336"/>
        <w:spacing w:after="0" w:line="231" w:lineRule="auto"/>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and exhibits have been omitted pursuant to Item 601(b)(2) of Regulation S-K, but will be furnished supplementally to the SEC upon request.</w:t>
      </w:r>
    </w:p>
    <w:p>
      <w:pPr>
        <w:spacing w:after="0" w:line="8" w:lineRule="exact"/>
        <w:rPr>
          <w:sz w:val="20"/>
          <w:szCs w:val="20"/>
          <w:color w:val="auto"/>
        </w:rPr>
      </w:pPr>
    </w:p>
    <w:p>
      <w:pPr>
        <w:ind w:left="1360" w:right="40" w:hanging="1336"/>
        <w:spacing w:after="0" w:line="228" w:lineRule="auto"/>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0" w:right="3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20" w:firstLine="47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SATELLOGIC INC.</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Each of the undersigned individuals hereby severally constitutes and appoints Emiliano Kargieman and Rick Dunn each as the attorney-in-fact for the undersigned, in any and all capacities, with full power of substitution, to sign on such person’s behalf, individually and in each capacity stated below,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or cause to be filed the same, with all exhibits thereto, and other documents in connection therewith, with the SEC, granting unto said attorney-in-fact full power and authority to do and perform each and every act and thing requisite or necessary to be done in connection therewith, as fully to all intents and purposes as such person might or could do in person, hereby ratifying and confirming all that said attorney-in-fact, or his substitute or substitutes, may lawfully do or cause to be done by virtue thereof.</w:t>
      </w:r>
    </w:p>
    <w:p>
      <w:pPr>
        <w:spacing w:after="0" w:line="200" w:lineRule="exact"/>
        <w:rPr>
          <w:sz w:val="20"/>
          <w:szCs w:val="20"/>
          <w:color w:val="auto"/>
        </w:rPr>
      </w:pPr>
    </w:p>
    <w:p>
      <w:pPr>
        <w:spacing w:after="0" w:line="225"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of 1934, this report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92"/>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Emiliano Kargieman</w:t>
            </w:r>
          </w:p>
        </w:tc>
        <w:tc>
          <w:tcPr>
            <w:tcW w:w="446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Emiliano Kargieman</w:t>
            </w:r>
          </w:p>
        </w:tc>
        <w:tc>
          <w:tcPr>
            <w:tcW w:w="446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(Principal Executive Officer), Director</w:t>
            </w: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Rick Dunn</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Ted Wang</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Ted Wang</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Kelly J. Kennedy</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Kelly J. Kennedy</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T. Mnuchin</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T. Mnuchin</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F. Dunford, Jr.</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F. Dunford, Jr.</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Thomas Killalea</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Thomas Killalea</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Miguel Gutiérrez</w:t>
            </w:r>
          </w:p>
        </w:tc>
        <w:tc>
          <w:tcPr>
            <w:tcW w:w="44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March 19, 2026</w:t>
            </w:r>
          </w:p>
        </w:tc>
      </w:tr>
      <w:tr>
        <w:trPr>
          <w:trHeight w:val="225"/>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Miguel Gutiérrez</w:t>
            </w:r>
          </w:p>
        </w:tc>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17" w:name="page118"/>
    <w:bookmarkEnd w:id="117"/>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9019"/>
          </w:cols>
          <w:pgMar w:left="1440" w:top="1440"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4"/>
                <w:szCs w:val="24"/>
                <w:color w:val="auto"/>
              </w:rPr>
            </w:pPr>
          </w:p>
        </w:tc>
        <w:tc>
          <w:tcPr>
            <w:tcW w:w="8140" w:type="dxa"/>
            <w:vAlign w:val="bottom"/>
            <w:gridSpan w:val="3"/>
          </w:tcPr>
          <w:p>
            <w:pPr>
              <w:ind w:left="780"/>
              <w:spacing w:after="0"/>
              <w:rPr>
                <w:sz w:val="20"/>
                <w:szCs w:val="20"/>
                <w:color w:val="auto"/>
              </w:rPr>
            </w:pPr>
            <w:r>
              <w:rPr>
                <w:rFonts w:ascii="Times New Roman" w:cs="Times New Roman" w:eastAsia="Times New Roman" w:hAnsi="Times New Roman"/>
                <w:sz w:val="21"/>
                <w:szCs w:val="21"/>
                <w:b w:val="1"/>
                <w:bCs w:val="1"/>
                <w:color w:val="auto"/>
              </w:rPr>
              <w:t>List of Subsidiaries as of December 31, 2025</w:t>
            </w:r>
          </w:p>
        </w:tc>
      </w:tr>
      <w:tr>
        <w:trPr>
          <w:trHeight w:val="48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 of incorporation</w:t>
            </w:r>
          </w:p>
        </w:tc>
      </w:tr>
      <w:tr>
        <w:trPr>
          <w:trHeight w:val="215"/>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Urugus S.A.</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Uruguay</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Nettar Group</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B.V.I.</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Nettar S.A.</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Uruguay</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Satellogic V. Inc.</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Satellogic USA Inc.</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Satellogic S.A.</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Satellogic Solutions S.L.</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Satellogic Federal LLC</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0960"/>
          </w:cols>
          <w:pgMar w:left="600" w:top="9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9" w:lineRule="exact"/>
        <w:rPr>
          <w:sz w:val="20"/>
          <w:szCs w:val="20"/>
          <w:color w:val="auto"/>
        </w:rPr>
      </w:pPr>
    </w:p>
    <w:p>
      <w:pPr>
        <w:ind w:left="1280" w:hanging="635"/>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333-266733) pertaining to the Satellogic Inc. 2021 Incentive Compensation Plan,</w:t>
      </w:r>
    </w:p>
    <w:p>
      <w:pPr>
        <w:spacing w:after="0" w:line="125" w:lineRule="exact"/>
        <w:rPr>
          <w:rFonts w:ascii="Times New Roman" w:cs="Times New Roman" w:eastAsia="Times New Roman" w:hAnsi="Times New Roman"/>
          <w:sz w:val="18"/>
          <w:szCs w:val="18"/>
          <w:color w:val="auto"/>
        </w:rPr>
      </w:pPr>
    </w:p>
    <w:p>
      <w:pPr>
        <w:ind w:left="1280" w:hanging="635"/>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333-269552) pertaining to the Satellogic Inc. 2021 Incentive Compensation Plan,</w:t>
      </w:r>
    </w:p>
    <w:p>
      <w:pPr>
        <w:spacing w:after="0" w:line="139" w:lineRule="exact"/>
        <w:rPr>
          <w:rFonts w:ascii="Times New Roman" w:cs="Times New Roman" w:eastAsia="Times New Roman" w:hAnsi="Times New Roman"/>
          <w:sz w:val="18"/>
          <w:szCs w:val="18"/>
          <w:color w:val="auto"/>
        </w:rPr>
      </w:pPr>
    </w:p>
    <w:p>
      <w:pPr>
        <w:ind w:left="1280" w:hanging="635"/>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424B5 No. 333-283719) of Satellogic, Inc, and</w:t>
      </w:r>
    </w:p>
    <w:p>
      <w:pPr>
        <w:spacing w:after="0" w:line="125" w:lineRule="exact"/>
        <w:rPr>
          <w:rFonts w:ascii="Times New Roman" w:cs="Times New Roman" w:eastAsia="Times New Roman" w:hAnsi="Times New Roman"/>
          <w:sz w:val="18"/>
          <w:szCs w:val="18"/>
          <w:color w:val="auto"/>
        </w:rPr>
      </w:pPr>
    </w:p>
    <w:p>
      <w:pPr>
        <w:ind w:left="1280" w:hanging="635"/>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S-3MEF No. 333-292940) of Satellogic Inc;</w:t>
      </w:r>
    </w:p>
    <w:p>
      <w:pPr>
        <w:spacing w:after="0" w:line="24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of our report dated March 19, 2026, with respect to the consolidated financial statements of Satellogic Inc. included in this Annual Report (Form 10-K) of Satellogic Inc. for the year ended December 31, 2025.</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1240"/>
          </w:cols>
          <w:pgMar w:left="320" w:top="113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126" w:lineRule="exact"/>
        <w:rPr>
          <w:sz w:val="20"/>
          <w:szCs w:val="20"/>
          <w:color w:val="auto"/>
        </w:rPr>
      </w:pPr>
    </w:p>
    <w:p>
      <w:pPr>
        <w:ind w:left="480" w:hanging="474"/>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Satellogic Inc.;</w:t>
      </w:r>
    </w:p>
    <w:p>
      <w:pPr>
        <w:spacing w:after="0" w:line="139" w:lineRule="exact"/>
        <w:rPr>
          <w:rFonts w:ascii="Times New Roman" w:cs="Times New Roman" w:eastAsia="Times New Roman" w:hAnsi="Times New Roman"/>
          <w:sz w:val="18"/>
          <w:szCs w:val="18"/>
          <w:color w:val="auto"/>
        </w:rPr>
      </w:pPr>
    </w:p>
    <w:p>
      <w:pPr>
        <w:jc w:val="both"/>
        <w:ind w:left="480" w:right="440" w:hanging="474"/>
        <w:spacing w:after="0" w:line="261"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480" w:right="400" w:hanging="474"/>
        <w:spacing w:after="0" w:line="276"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480" w:right="20" w:hanging="474"/>
        <w:spacing w:after="0" w:line="261"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120" w:right="60" w:hanging="475"/>
        <w:spacing w:after="0" w:line="261" w:lineRule="auto"/>
        <w:tabs>
          <w:tab w:leader="none" w:pos="111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45" w:lineRule="exact"/>
        <w:rPr>
          <w:rFonts w:ascii="Times New Roman" w:cs="Times New Roman" w:eastAsia="Times New Roman" w:hAnsi="Times New Roman"/>
          <w:sz w:val="18"/>
          <w:szCs w:val="18"/>
          <w:color w:val="auto"/>
        </w:rPr>
      </w:pPr>
    </w:p>
    <w:p>
      <w:pPr>
        <w:jc w:val="both"/>
        <w:ind w:left="1120" w:right="520" w:hanging="475"/>
        <w:spacing w:after="0" w:line="306" w:lineRule="auto"/>
        <w:tabs>
          <w:tab w:leader="none" w:pos="111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1120" w:right="60" w:hanging="475"/>
        <w:spacing w:after="0" w:line="261" w:lineRule="auto"/>
        <w:tabs>
          <w:tab w:leader="none" w:pos="11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480" w:right="320" w:hanging="474"/>
        <w:spacing w:after="0" w:line="276"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120" w:right="760" w:hanging="475"/>
        <w:spacing w:after="0" w:line="306" w:lineRule="auto"/>
        <w:tabs>
          <w:tab w:leader="none" w:pos="111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1120" w:right="460" w:hanging="475"/>
        <w:spacing w:after="0" w:line="276" w:lineRule="auto"/>
        <w:tabs>
          <w:tab w:leader="none" w:pos="11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312" w:lineRule="exact"/>
        <w:rPr>
          <w:sz w:val="20"/>
          <w:szCs w:val="20"/>
          <w:color w:val="auto"/>
        </w:rPr>
      </w:pPr>
    </w:p>
    <w:tbl>
      <w:tblPr>
        <w:tblLayout w:type="fixed"/>
        <w:tblInd w:w="550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Emiliano Kargieman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Emiliano Kargieman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3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126" w:lineRule="exact"/>
        <w:rPr>
          <w:sz w:val="20"/>
          <w:szCs w:val="20"/>
          <w:color w:val="auto"/>
        </w:rPr>
      </w:pPr>
    </w:p>
    <w:p>
      <w:pPr>
        <w:ind w:left="620" w:hanging="314"/>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Satellogic Inc.;</w:t>
      </w:r>
    </w:p>
    <w:p>
      <w:pPr>
        <w:spacing w:after="0" w:line="139" w:lineRule="exact"/>
        <w:rPr>
          <w:rFonts w:ascii="Times New Roman" w:cs="Times New Roman" w:eastAsia="Times New Roman" w:hAnsi="Times New Roman"/>
          <w:sz w:val="18"/>
          <w:szCs w:val="18"/>
          <w:color w:val="auto"/>
        </w:rPr>
      </w:pPr>
    </w:p>
    <w:p>
      <w:pPr>
        <w:jc w:val="both"/>
        <w:ind w:left="620" w:right="280" w:hanging="314"/>
        <w:spacing w:after="0" w:line="261"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620" w:right="240" w:hanging="314"/>
        <w:spacing w:after="0" w:line="27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620" w:right="260" w:hanging="314"/>
        <w:spacing w:after="0" w:line="261"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260" w:right="80" w:hanging="315"/>
        <w:spacing w:after="0" w:line="261"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8"/>
          <w:szCs w:val="18"/>
          <w:color w:val="auto"/>
        </w:rPr>
      </w:pPr>
    </w:p>
    <w:p>
      <w:pPr>
        <w:ind w:left="1260" w:hanging="315"/>
        <w:spacing w:after="0"/>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25" w:lineRule="exact"/>
        <w:rPr>
          <w:rFonts w:ascii="Times New Roman" w:cs="Times New Roman" w:eastAsia="Times New Roman" w:hAnsi="Times New Roman"/>
          <w:sz w:val="18"/>
          <w:szCs w:val="18"/>
          <w:color w:val="auto"/>
        </w:rPr>
      </w:pPr>
    </w:p>
    <w:p>
      <w:pPr>
        <w:jc w:val="both"/>
        <w:ind w:left="1260" w:right="360" w:hanging="315"/>
        <w:spacing w:after="0" w:line="306" w:lineRule="auto"/>
        <w:tabs>
          <w:tab w:leader="none" w:pos="125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ind w:left="1260" w:right="140" w:hanging="315"/>
        <w:spacing w:after="0" w:line="261" w:lineRule="auto"/>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8"/>
          <w:szCs w:val="18"/>
          <w:color w:val="auto"/>
        </w:rPr>
      </w:pPr>
    </w:p>
    <w:p>
      <w:pPr>
        <w:ind w:left="620" w:right="160" w:hanging="314"/>
        <w:spacing w:after="0" w:line="27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260" w:right="620" w:hanging="315"/>
        <w:spacing w:after="0" w:line="306" w:lineRule="auto"/>
        <w:tabs>
          <w:tab w:leader="none" w:pos="125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60" w:right="300" w:hanging="315"/>
        <w:spacing w:after="0" w:line="276" w:lineRule="auto"/>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312" w:lineRule="exact"/>
        <w:rPr>
          <w:sz w:val="20"/>
          <w:szCs w:val="20"/>
          <w:color w:val="auto"/>
        </w:rPr>
      </w:pPr>
    </w:p>
    <w:tbl>
      <w:tblPr>
        <w:tblLayout w:type="fixed"/>
        <w:tblInd w:w="508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40" w:top="91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Emiliano Kargieman, Chief Executive Officer of Satellogic Inc. (the “Company”), certify, pursuant to Section 906 of the Sarbanes-Oxley Act of 2002,</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18 U.S.C. Section 1350, that:</w:t>
      </w:r>
    </w:p>
    <w:p>
      <w:pPr>
        <w:spacing w:after="0" w:line="107" w:lineRule="exact"/>
        <w:rPr>
          <w:sz w:val="20"/>
          <w:szCs w:val="20"/>
          <w:color w:val="auto"/>
        </w:rPr>
      </w:pPr>
    </w:p>
    <w:p>
      <w:pPr>
        <w:ind w:left="620" w:right="800" w:hanging="314"/>
        <w:spacing w:after="0" w:line="276"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2025 (the “Report”) fully complies with the requirements of Section 13(a) of the Securities Exchange Act of 1934 (15 U.S.C. 78m); and</w:t>
      </w:r>
    </w:p>
    <w:p>
      <w:pPr>
        <w:spacing w:after="0" w:line="83"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15240</wp:posOffset>
            </wp:positionV>
            <wp:extent cx="29330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Emiliano Kargieman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40" w:top="113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Rick Dunn, Chief Financial Officer of Satellogic Inc. (the “Company”), certify, pursuant to Section 906 of the Sarbanes-Oxley Act of 2002, 18 U.S.C.</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1350, that:</w:t>
      </w:r>
    </w:p>
    <w:p>
      <w:pPr>
        <w:spacing w:after="0" w:line="120" w:lineRule="exact"/>
        <w:rPr>
          <w:sz w:val="20"/>
          <w:szCs w:val="20"/>
          <w:color w:val="auto"/>
        </w:rPr>
      </w:pPr>
    </w:p>
    <w:p>
      <w:pPr>
        <w:ind w:left="620" w:right="800" w:hanging="314"/>
        <w:spacing w:after="0" w:line="276" w:lineRule="auto"/>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2025 (the “Report”) fully complies with the requirements of Section 13(a) of the Securities Exchange Act of 1934 (15 U.S.C. 78m); and</w:t>
      </w:r>
    </w:p>
    <w:p>
      <w:pPr>
        <w:spacing w:after="0" w:line="69"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24130</wp:posOffset>
            </wp:positionV>
            <wp:extent cx="29330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Rick Dunn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40" w:top="1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606"/>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lvl w:ilvl="1">
      <w:lvlJc w:val="left"/>
      <w:lvlText w:val="◦"/>
      <w:numFmt w:val="bullet"/>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9"/>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37" Type="http://schemas.openxmlformats.org/officeDocument/2006/relationships/hyperlink" Target="https://www.sec.gov/Archives/edgar/data/1874315/000119312521244833/d178511df4.htm#anxa" TargetMode="External"/><Relationship Id="rId138" Type="http://schemas.openxmlformats.org/officeDocument/2006/relationships/hyperlink" Target="https://www.sec.gov/Archives/edgar/data/1874315/000143774925009269/ex_793454.htm" TargetMode="External"/><Relationship Id="rId139" Type="http://schemas.openxmlformats.org/officeDocument/2006/relationships/hyperlink" Target="https://www.sec.gov/Archives/edgar/data/1874315/000143774925009269/ex_793455.htm" TargetMode="External"/><Relationship Id="rId140" Type="http://schemas.openxmlformats.org/officeDocument/2006/relationships/hyperlink" Target="https://www.sec.gov/Archives/edgar/data/1874315/000143774925009269/ex_793456.htm" TargetMode="External"/><Relationship Id="rId141" Type="http://schemas.openxmlformats.org/officeDocument/2006/relationships/hyperlink" Target="https://www.sec.gov/Archives/edgar/data/1874315/000143774925009268/satl20250321_8a12b.htm" TargetMode="External"/><Relationship Id="rId142" Type="http://schemas.openxmlformats.org/officeDocument/2006/relationships/hyperlink" Target="https://www.sec.gov/Archives/edgar/data/1874315/000119312521301889/d178511dex43.htm" TargetMode="External"/><Relationship Id="rId143" Type="http://schemas.openxmlformats.org/officeDocument/2006/relationships/hyperlink" Target="https://www.sec.gov/Archives/edgar/data/1828049/000114036121003257/brhc10019690_ex4-1.htm" TargetMode="External"/><Relationship Id="rId144" Type="http://schemas.openxmlformats.org/officeDocument/2006/relationships/hyperlink" Target="https://www.sec.gov/Archives/edgar/data/1874315/000119312522019976/d612581dex26.htm" TargetMode="External"/><Relationship Id="rId145" Type="http://schemas.openxmlformats.org/officeDocument/2006/relationships/hyperlink" Target="https://www.sec.gov/Archives/edgar/data/1874315/000143774924011908/ex_650720.htm" TargetMode="External"/><Relationship Id="rId146" Type="http://schemas.openxmlformats.org/officeDocument/2006/relationships/hyperlink" Target="https://www.sec.gov/Archives/edgar/data/1874315/000119312521244833/d178511dex106.htm" TargetMode="External"/><Relationship Id="rId147" Type="http://schemas.openxmlformats.org/officeDocument/2006/relationships/hyperlink" Target="https://www.sec.gov/Archives/edgar/data/1874315/000119312521282132/d178511dex107.htm" TargetMode="External"/><Relationship Id="rId148" Type="http://schemas.openxmlformats.org/officeDocument/2006/relationships/hyperlink" Target="https://www.sec.gov/Archives/edgar/data/1874315/000119312521301889/d178511dex109.htm" TargetMode="External"/><Relationship Id="rId149" Type="http://schemas.openxmlformats.org/officeDocument/2006/relationships/hyperlink" Target="https://www.sec.gov/Archives/edgar/data/1874315/000162828025014951/exhibit104.htm" TargetMode="External"/><Relationship Id="rId150" Type="http://schemas.openxmlformats.org/officeDocument/2006/relationships/hyperlink" Target="https://www.sec.gov/Archives/edgar/data/1874315/000119312521301889/d178511dex1010.htm" TargetMode="External"/><Relationship Id="rId151" Type="http://schemas.openxmlformats.org/officeDocument/2006/relationships/hyperlink" Target="https://www.sec.gov/Archives/edgar/data/1874315/000119312521325594/d178511dex1011.htm" TargetMode="External"/><Relationship Id="rId152" Type="http://schemas.openxmlformats.org/officeDocument/2006/relationships/hyperlink" Target="https://www.sec.gov/Archives/edgar/data/1874315/000119312521353387/d266145dex991.htm" TargetMode="External"/><Relationship Id="rId153" Type="http://schemas.openxmlformats.org/officeDocument/2006/relationships/hyperlink" Target="https://www.sec.gov/Archives/edgar/data/1874315/000119312521353387/d266145dex992.htm" TargetMode="External"/><Relationship Id="rId154" Type="http://schemas.openxmlformats.org/officeDocument/2006/relationships/hyperlink" Target="https://www.sec.gov/Archives/edgar/data/1874315/000119312522019976/d612581dex109.htm" TargetMode="External"/><Relationship Id="rId155" Type="http://schemas.openxmlformats.org/officeDocument/2006/relationships/hyperlink" Target="https://www.sec.gov/Archives/edgar/data/1874315/000119312521244833/d178511dex101.htm" TargetMode="External"/><Relationship Id="rId159" Type="http://schemas.openxmlformats.org/officeDocument/2006/relationships/hyperlink" Target="https://www.sec.gov/Archives/edgar/data/1874315/000119312522010911/d256307dex992.htm" TargetMode="External"/><Relationship Id="rId160" Type="http://schemas.openxmlformats.org/officeDocument/2006/relationships/hyperlink" Target="https://www.sec.gov/Archives/edgar/data/1874315/000119312522010911/d256307dex993.htm" TargetMode="External"/><Relationship Id="rId161" Type="http://schemas.openxmlformats.org/officeDocument/2006/relationships/hyperlink" Target="https://www.sec.gov/Archives/edgar/data/1874315/000119312522039746/d274113dex1016.htm" TargetMode="External"/><Relationship Id="rId162" Type="http://schemas.openxmlformats.org/officeDocument/2006/relationships/hyperlink" Target="https://www.sec.gov/Archives/edgar/data/1874315/000143774925031429/satl20251020_def14a.htm" TargetMode="External"/><Relationship Id="rId163" Type="http://schemas.openxmlformats.org/officeDocument/2006/relationships/hyperlink" Target="https://www.sec.gov/Archives/edgar/data/1874315/000119312522039746/d274113dex1018.htm" TargetMode="External"/><Relationship Id="rId164" Type="http://schemas.openxmlformats.org/officeDocument/2006/relationships/hyperlink" Target="https://www.sec.gov/Archives/edgar/data/1874315/000119312522039746/d274113dex1019.htm" TargetMode="External"/><Relationship Id="rId165" Type="http://schemas.openxmlformats.org/officeDocument/2006/relationships/hyperlink" Target="https://www.sec.gov/Archives/edgar/data/1874315/000119312522039746/d274113dex1020.htm" TargetMode="External"/><Relationship Id="rId166" Type="http://schemas.openxmlformats.org/officeDocument/2006/relationships/hyperlink" Target="https://www.sec.gov/Archives/edgar/data/1874315/000162828023013665/descriptionofsecurities.htm" TargetMode="External"/><Relationship Id="rId167" Type="http://schemas.openxmlformats.org/officeDocument/2006/relationships/hyperlink" Target="https://www.sec.gov/Archives/edgar/data/1874315/000143774924011908/ex_650721.htm" TargetMode="External"/><Relationship Id="rId168" Type="http://schemas.openxmlformats.org/officeDocument/2006/relationships/hyperlink" Target="https://www.sec.gov/Archives/edgar/data/1874315/000143774924011908/ex_650722.htm" TargetMode="External"/><Relationship Id="rId169" Type="http://schemas.openxmlformats.org/officeDocument/2006/relationships/hyperlink" Target="https://www.sec.gov/Archives/edgar/data/1874315/000143774924011908/ex_650723.htm" TargetMode="External"/><Relationship Id="rId170" Type="http://schemas.openxmlformats.org/officeDocument/2006/relationships/hyperlink" Target="https://www.sec.gov/Archives/edgar/data/1874315/000143774924037108/ex_755154.htm" TargetMode="External"/><Relationship Id="rId171" Type="http://schemas.openxmlformats.org/officeDocument/2006/relationships/hyperlink" Target="https://www.sec.gov/Archives/edgar/data/1874315/000143774925011571/ex_799864.htm" TargetMode="External"/><Relationship Id="rId172" Type="http://schemas.openxmlformats.org/officeDocument/2006/relationships/hyperlink" Target="https://www.sec.gov/Archives/edgar/data/1874315/000143774925012004/ex_801771.htm" TargetMode="External"/><Relationship Id="rId173" Type="http://schemas.openxmlformats.org/officeDocument/2006/relationships/hyperlink" Target="https://www.sec.gov/Archives/edgar/data/1874315/000143774925012004/ex_801762.htm" TargetMode="External"/><Relationship Id="rId174" Type="http://schemas.openxmlformats.org/officeDocument/2006/relationships/hyperlink" Target="https://www.sec.gov/Archives/edgar/data/1874315/000143774925003636/ex_777505.htm" TargetMode="External"/><Relationship Id="rId175" Type="http://schemas.openxmlformats.org/officeDocument/2006/relationships/hyperlink" Target="https://www.sec.gov/Archives/edgar/data/1874315/000143774926002213/ex_911831.htm" TargetMode="External"/><Relationship Id="rId176" Type="http://schemas.openxmlformats.org/officeDocument/2006/relationships/hyperlink" Target="https://www.sec.gov/Archives/edgar/data/1874315/000143774926002213/ex_911832.htm" TargetMode="External"/><Relationship Id="rId177" Type="http://schemas.openxmlformats.org/officeDocument/2006/relationships/hyperlink" Target="https://www.sec.gov/Archives/edgar/data/1874315/000162828025014951/exhibit1024.htm" TargetMode="External"/><Relationship Id="rId180" Type="http://schemas.openxmlformats.org/officeDocument/2006/relationships/hyperlink" Target="https://www.sec.gov/Archives/edgar/data/1874315/000162828025014951/exhibit1025.htm" TargetMode="External"/><Relationship Id="rId181" Type="http://schemas.openxmlformats.org/officeDocument/2006/relationships/hyperlink" Target="https://www.sec.gov/Archives/edgar/data/1874315/000162828025014951/exhibit19.htm" TargetMode="External"/><Relationship Id="rId182" Type="http://schemas.openxmlformats.org/officeDocument/2006/relationships/hyperlink" Target="https://www.sec.gov/Archives/edgar/data/1874315/000162828025014951/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2026-03-19T15:20:34Z</dcterms:created>
  <dcterms:modified xsi:type="dcterms:W3CDTF">2026-03-19T15:20:34Z</dcterms:modified>
</cp:coreProperties>
</file>