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4669183.xml.htm"/>
      <w:bookmarkStart w:id="1" w:name="kswkform4a_17846691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Kennedy Kelly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SATELLOGIC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DELBURG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DAVIDSON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Satellogic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10, 2026, Ms. Kennedy was granted 20,787 RSUs, all of which will vest on May 31, 2027 subject to Ms. Kennedy's continued service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Noah Benz, Attorney-in-fact for Kelly Kennedy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5591" TargetMode="External"/><Relationship Id="rId5" Type="http://schemas.openxmlformats.org/officeDocument/2006/relationships/hyperlink" Target="http://www.sec.gov/cgi-bin/browse-edgar?action=getcompany&amp;CIK=00018743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3251</Characters>
  <CharactersWithSpaces>3781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