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921385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946785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ind w:left="47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47" w:lineRule="exact"/>
        <w:rPr>
          <w:sz w:val="24"/>
          <w:szCs w:val="24"/>
          <w:color w:val="auto"/>
        </w:rPr>
      </w:pPr>
    </w:p>
    <w:p>
      <w:pPr>
        <w:ind w:left="4380" w:right="3480" w:hanging="4356"/>
        <w:spacing w:after="0" w:line="375" w:lineRule="auto"/>
        <w:tabs>
          <w:tab w:leader="none" w:pos="471"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2025</w:t>
      </w:r>
    </w:p>
    <w:p>
      <w:pPr>
        <w:spacing w:after="0" w:line="176" w:lineRule="exact"/>
        <w:rPr>
          <w:sz w:val="24"/>
          <w:szCs w:val="24"/>
          <w:color w:val="auto"/>
        </w:rPr>
      </w:pPr>
    </w:p>
    <w:p>
      <w:pPr>
        <w:ind w:left="480" w:hanging="456"/>
        <w:spacing w:after="0"/>
        <w:tabs>
          <w:tab w:leader="none" w:pos="48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6"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001-41247</w:t>
      </w:r>
    </w:p>
    <w:p>
      <w:pPr>
        <w:spacing w:after="0" w:line="6"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Satellogic Inc.</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56"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460" w:type="dxa"/>
            <w:vAlign w:val="bottom"/>
          </w:tcPr>
          <w:p>
            <w:pPr>
              <w:jc w:val="center"/>
              <w:ind w:right="56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940" w:type="dxa"/>
            <w:vAlign w:val="bottom"/>
          </w:tcPr>
          <w:p>
            <w:pPr>
              <w:spacing w:after="0"/>
              <w:rPr>
                <w:sz w:val="20"/>
                <w:szCs w:val="20"/>
                <w:color w:val="auto"/>
              </w:rPr>
            </w:pPr>
          </w:p>
        </w:tc>
        <w:tc>
          <w:tcPr>
            <w:tcW w:w="2760" w:type="dxa"/>
            <w:vAlign w:val="bottom"/>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98-1845974</w:t>
            </w:r>
          </w:p>
        </w:tc>
      </w:tr>
      <w:tr>
        <w:trPr>
          <w:trHeight w:val="201"/>
        </w:trPr>
        <w:tc>
          <w:tcPr>
            <w:tcW w:w="3460" w:type="dxa"/>
            <w:vAlign w:val="bottom"/>
          </w:tcPr>
          <w:p>
            <w:pPr>
              <w:jc w:val="center"/>
              <w:ind w:right="562"/>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c>
          <w:tcPr>
            <w:tcW w:w="1940" w:type="dxa"/>
            <w:vAlign w:val="bottom"/>
          </w:tcPr>
          <w:p>
            <w:pPr>
              <w:spacing w:after="0"/>
              <w:rPr>
                <w:sz w:val="17"/>
                <w:szCs w:val="17"/>
                <w:color w:val="auto"/>
              </w:rPr>
            </w:pPr>
          </w:p>
        </w:tc>
        <w:tc>
          <w:tcPr>
            <w:tcW w:w="2760" w:type="dxa"/>
            <w:vAlign w:val="bottom"/>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98"/>
        </w:trPr>
        <w:tc>
          <w:tcPr>
            <w:tcW w:w="3460" w:type="dxa"/>
            <w:vAlign w:val="bottom"/>
          </w:tcPr>
          <w:p>
            <w:pPr>
              <w:spacing w:after="0"/>
              <w:rPr>
                <w:sz w:val="24"/>
                <w:szCs w:val="24"/>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210 Delburg Street</w:t>
            </w:r>
          </w:p>
        </w:tc>
        <w:tc>
          <w:tcPr>
            <w:tcW w:w="2760" w:type="dxa"/>
            <w:vAlign w:val="bottom"/>
          </w:tcPr>
          <w:p>
            <w:pPr>
              <w:spacing w:after="0"/>
              <w:rPr>
                <w:sz w:val="24"/>
                <w:szCs w:val="24"/>
                <w:color w:val="auto"/>
              </w:rPr>
            </w:pPr>
          </w:p>
        </w:tc>
      </w:tr>
      <w:tr>
        <w:trPr>
          <w:trHeight w:val="359"/>
        </w:trPr>
        <w:tc>
          <w:tcPr>
            <w:tcW w:w="346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Davidson,</w:t>
            </w:r>
          </w:p>
        </w:tc>
        <w:tc>
          <w:tcPr>
            <w:tcW w:w="19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2760" w:type="dxa"/>
            <w:vAlign w:val="bottom"/>
          </w:tcPr>
          <w:p>
            <w:pPr>
              <w:jc w:val="right"/>
              <w:ind w:right="2176"/>
              <w:spacing w:after="0"/>
              <w:rPr>
                <w:sz w:val="20"/>
                <w:szCs w:val="20"/>
                <w:color w:val="auto"/>
              </w:rPr>
            </w:pPr>
            <w:r>
              <w:rPr>
                <w:rFonts w:ascii="Times New Roman" w:cs="Times New Roman" w:eastAsia="Times New Roman" w:hAnsi="Times New Roman"/>
                <w:sz w:val="18"/>
                <w:szCs w:val="18"/>
                <w:b w:val="1"/>
                <w:bCs w:val="1"/>
                <w:color w:val="auto"/>
              </w:rPr>
              <w:t>28036</w:t>
            </w:r>
          </w:p>
        </w:tc>
      </w:tr>
      <w:tr>
        <w:trPr>
          <w:trHeight w:val="307"/>
        </w:trPr>
        <w:tc>
          <w:tcPr>
            <w:tcW w:w="540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2760" w:type="dxa"/>
            <w:vAlign w:val="bottom"/>
          </w:tcPr>
          <w:p>
            <w:pPr>
              <w:spacing w:after="0"/>
              <w:rPr>
                <w:sz w:val="24"/>
                <w:szCs w:val="24"/>
                <w:color w:val="auto"/>
              </w:rPr>
            </w:pPr>
          </w:p>
        </w:tc>
      </w:tr>
      <w:tr>
        <w:trPr>
          <w:trHeight w:val="358"/>
        </w:trPr>
        <w:tc>
          <w:tcPr>
            <w:tcW w:w="540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760" w:type="dxa"/>
            <w:vAlign w:val="bottom"/>
          </w:tcPr>
          <w:p>
            <w:pPr>
              <w:jc w:val="right"/>
              <w:ind w:right="1336"/>
              <w:spacing w:after="0"/>
              <w:rPr>
                <w:sz w:val="20"/>
                <w:szCs w:val="20"/>
                <w:color w:val="auto"/>
              </w:rPr>
            </w:pPr>
            <w:r>
              <w:rPr>
                <w:rFonts w:ascii="Times New Roman" w:cs="Times New Roman" w:eastAsia="Times New Roman" w:hAnsi="Times New Roman"/>
                <w:sz w:val="18"/>
                <w:szCs w:val="18"/>
                <w:b w:val="1"/>
                <w:bCs w:val="1"/>
                <w:color w:val="auto"/>
              </w:rPr>
              <w:t>(704) 894-4482</w:t>
            </w:r>
          </w:p>
        </w:tc>
      </w:tr>
    </w:tbl>
    <w:p>
      <w:pPr>
        <w:spacing w:after="0" w:line="7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33" w:lineRule="exact"/>
        <w:rPr>
          <w:sz w:val="24"/>
          <w:szCs w:val="24"/>
          <w:color w:val="auto"/>
        </w:rPr>
      </w:pPr>
    </w:p>
    <w:tbl>
      <w:tblPr>
        <w:tblLayout w:type="fixed"/>
        <w:tblInd w:w="640" w:type="dxa"/>
        <w:tblCellMar>
          <w:top w:w="0" w:type="dxa"/>
          <w:left w:w="0" w:type="dxa"/>
          <w:bottom w:w="0" w:type="dxa"/>
          <w:right w:w="0" w:type="dxa"/>
        </w:tblCellMar>
      </w:tblPr>
      <w:tr>
        <w:trPr>
          <w:trHeight w:val="186"/>
        </w:trPr>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4"/>
        </w:trPr>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SATL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Nasdaq Capital Market</w:t>
            </w:r>
          </w:p>
        </w:tc>
      </w:tr>
      <w:tr>
        <w:trPr>
          <w:trHeight w:val="253"/>
        </w:trPr>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Warrants</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SATLW</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Nasdaq Capital Market</w:t>
            </w:r>
          </w:p>
        </w:tc>
      </w:tr>
    </w:tbl>
    <w:p>
      <w:pPr>
        <w:spacing w:after="0" w:line="8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00" w:lineRule="exact"/>
        <w:rPr>
          <w:sz w:val="24"/>
          <w:szCs w:val="24"/>
          <w:color w:val="auto"/>
        </w:rPr>
      </w:pPr>
    </w:p>
    <w:p>
      <w:pPr>
        <w:spacing w:after="0" w:line="287" w:lineRule="exact"/>
        <w:rPr>
          <w:sz w:val="24"/>
          <w:szCs w:val="24"/>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3" w:lineRule="exact"/>
        <w:rPr>
          <w:sz w:val="24"/>
          <w:szCs w:val="24"/>
          <w:color w:val="auto"/>
        </w:rPr>
      </w:pPr>
    </w:p>
    <w:tbl>
      <w:tblPr>
        <w:tblLayout w:type="fixed"/>
        <w:tblInd w:w="1660" w:type="dxa"/>
        <w:tblCellMar>
          <w:top w:w="0" w:type="dxa"/>
          <w:left w:w="0" w:type="dxa"/>
          <w:bottom w:w="0" w:type="dxa"/>
          <w:right w:w="0" w:type="dxa"/>
        </w:tblCellMar>
      </w:tblPr>
      <w:tr>
        <w:trPr>
          <w:trHeight w:val="232"/>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280"/>
              <w:spacing w:after="0"/>
              <w:rPr>
                <w:sz w:val="20"/>
                <w:szCs w:val="20"/>
                <w:color w:val="auto"/>
              </w:rPr>
            </w:pPr>
            <w:r>
              <w:rPr>
                <w:rFonts w:ascii="Wingdings" w:cs="Wingdings" w:eastAsia="Wingdings" w:hAnsi="Wingdings"/>
                <w:sz w:val="18"/>
                <w:szCs w:val="18"/>
                <w:b w:val="1"/>
                <w:bCs w:val="1"/>
                <w:color w:val="auto"/>
              </w:rPr>
              <w:t>o</w:t>
            </w:r>
          </w:p>
        </w:tc>
        <w:tc>
          <w:tcPr>
            <w:tcW w:w="3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20"/>
              <w:spacing w:after="0"/>
              <w:rPr>
                <w:sz w:val="20"/>
                <w:szCs w:val="20"/>
                <w:color w:val="auto"/>
              </w:rPr>
            </w:pPr>
            <w:r>
              <w:rPr>
                <w:rFonts w:ascii="Wingdings" w:cs="Wingdings" w:eastAsia="Wingdings" w:hAnsi="Wingdings"/>
                <w:sz w:val="18"/>
                <w:szCs w:val="18"/>
                <w:b w:val="1"/>
                <w:bCs w:val="1"/>
                <w:color w:val="auto"/>
                <w:w w:val="99"/>
              </w:rPr>
              <w:t>o</w:t>
            </w:r>
          </w:p>
        </w:tc>
      </w:tr>
      <w:tr>
        <w:trPr>
          <w:trHeight w:val="25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280"/>
              <w:spacing w:after="0"/>
              <w:rPr>
                <w:sz w:val="20"/>
                <w:szCs w:val="20"/>
                <w:color w:val="auto"/>
              </w:rPr>
            </w:pPr>
            <w:r>
              <w:rPr>
                <w:rFonts w:ascii="Wingdings" w:cs="Wingdings" w:eastAsia="Wingdings" w:hAnsi="Wingdings"/>
                <w:sz w:val="18"/>
                <w:szCs w:val="18"/>
                <w:b w:val="1"/>
                <w:bCs w:val="1"/>
                <w:color w:val="auto"/>
              </w:rPr>
              <w:t>x</w:t>
            </w:r>
          </w:p>
        </w:tc>
        <w:tc>
          <w:tcPr>
            <w:tcW w:w="3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20"/>
              <w:spacing w:after="0"/>
              <w:rPr>
                <w:sz w:val="20"/>
                <w:szCs w:val="20"/>
                <w:color w:val="auto"/>
              </w:rPr>
            </w:pPr>
            <w:r>
              <w:rPr>
                <w:rFonts w:ascii="Wingdings" w:cs="Wingdings" w:eastAsia="Wingdings" w:hAnsi="Wingdings"/>
                <w:sz w:val="18"/>
                <w:szCs w:val="18"/>
                <w:b w:val="1"/>
                <w:bCs w:val="1"/>
                <w:color w:val="auto"/>
                <w:w w:val="83"/>
              </w:rPr>
              <w:t>x</w:t>
            </w:r>
          </w:p>
        </w:tc>
      </w:tr>
      <w:tr>
        <w:trPr>
          <w:trHeight w:val="253"/>
        </w:trPr>
        <w:tc>
          <w:tcPr>
            <w:tcW w:w="18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2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327" w:lineRule="exact"/>
        <w:rPr>
          <w:sz w:val="24"/>
          <w:szCs w:val="24"/>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provided pursuant to Section 13(a) of the Exchange Act. </w:t>
      </w:r>
      <w:r>
        <w:rPr>
          <w:rFonts w:ascii="Wingdings" w:cs="Wingdings" w:eastAsia="Wingdings" w:hAnsi="Wingdings"/>
          <w:sz w:val="18"/>
          <w:szCs w:val="18"/>
          <w:b w:val="1"/>
          <w:bCs w:val="1"/>
          <w:color w:val="auto"/>
        </w:rPr>
        <w:t>o</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2, 2025, there were 90,526,937 shares of Class A common stock and 13,582,642 shares of Class B common stock outstanding.</w:t>
      </w:r>
    </w:p>
    <w:p>
      <w:pPr>
        <w:sectPr>
          <w:pgSz w:w="11900" w:h="16838" w:orient="portrait"/>
          <w:cols w:equalWidth="0" w:num="1">
            <w:col w:w="11160"/>
          </w:cols>
          <w:pgMar w:left="320" w:top="226" w:right="41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186055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540" w:type="dxa"/>
            <w:vAlign w:val="bottom"/>
            <w:gridSpan w:val="11"/>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40" w:type="dxa"/>
            <w:vAlign w:val="bottom"/>
            <w:gridSpan w:val="11"/>
            <w:vMerge w:val="continue"/>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2025 and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3" w:lineRule="exact"/>
              <w:rPr>
                <w:sz w:val="20"/>
                <w:szCs w:val="20"/>
                <w:color w:val="auto"/>
              </w:rPr>
            </w:pPr>
            <w:r>
              <w:rPr>
                <w:rFonts w:ascii="Times New Roman" w:cs="Times New Roman" w:eastAsia="Times New Roman" w:hAnsi="Times New Roman"/>
                <w:sz w:val="17"/>
                <w:szCs w:val="17"/>
                <w:color w:val="0000FF"/>
                <w:w w:val="93"/>
              </w:rPr>
              <w:t>2024</w:t>
            </w:r>
          </w:p>
        </w:tc>
        <w:tc>
          <w:tcPr>
            <w:tcW w:w="4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line="20" w:lineRule="exact"/>
              <w:rPr>
                <w:sz w:val="1"/>
                <w:szCs w:val="1"/>
                <w:color w:val="auto"/>
              </w:rPr>
            </w:pPr>
          </w:p>
        </w:tc>
      </w:tr>
      <w:tr>
        <w:trPr>
          <w:trHeight w:val="233"/>
        </w:trPr>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Stockholders' Equity (Deficit) for the three months ended March 31, 2025 and 2024</w:t>
            </w:r>
          </w:p>
        </w:tc>
        <w:tc>
          <w:tcPr>
            <w:tcW w:w="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for the three months ended March 31, 2025 and 2024</w:t>
            </w:r>
          </w:p>
        </w:tc>
        <w:tc>
          <w:tcPr>
            <w:tcW w:w="1100" w:type="dxa"/>
            <w:vAlign w:val="bottom"/>
            <w:tcBorders>
              <w:top w:val="single" w:sz="8" w:color="0000FF"/>
            </w:tcBorders>
          </w:tcPr>
          <w:p>
            <w:pPr>
              <w:spacing w:after="0"/>
              <w:rPr>
                <w:sz w:val="20"/>
                <w:szCs w:val="20"/>
                <w:color w:val="auto"/>
              </w:rPr>
            </w:pPr>
          </w:p>
        </w:tc>
        <w:tc>
          <w:tcPr>
            <w:tcW w:w="520" w:type="dxa"/>
            <w:vAlign w:val="bottom"/>
            <w:gridSpan w:val="3"/>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Notes to the Condensed Consolidated Financial Statements</w:t>
            </w:r>
          </w:p>
        </w:tc>
        <w:tc>
          <w:tcPr>
            <w:tcW w:w="4900" w:type="dxa"/>
            <w:vAlign w:val="bottom"/>
            <w:gridSpan w:val="8"/>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0"/>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3.</w:t>
            </w:r>
          </w:p>
        </w:tc>
        <w:tc>
          <w:tcPr>
            <w:tcW w:w="87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20" w:type="dxa"/>
            <w:vAlign w:val="bottom"/>
            <w:gridSpan w:val="2"/>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4.</w:t>
            </w:r>
          </w:p>
        </w:tc>
        <w:tc>
          <w:tcPr>
            <w:tcW w:w="60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060" w:type="dxa"/>
            <w:vAlign w:val="bottom"/>
            <w:gridSpan w:val="6"/>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Pr>
          <w:p>
            <w:pPr>
              <w:spacing w:after="0"/>
              <w:rPr>
                <w:sz w:val="23"/>
                <w:szCs w:val="23"/>
                <w:color w:val="auto"/>
              </w:rPr>
            </w:pPr>
          </w:p>
        </w:tc>
        <w:tc>
          <w:tcPr>
            <w:tcW w:w="59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1A.</w:t>
            </w:r>
          </w:p>
        </w:tc>
        <w:tc>
          <w:tcPr>
            <w:tcW w:w="18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260" w:type="dxa"/>
            <w:vAlign w:val="bottom"/>
            <w:gridSpan w:val="14"/>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59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3120" w:type="dxa"/>
            <w:vAlign w:val="bottom"/>
            <w:gridSpan w:val="7"/>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3.</w:t>
            </w:r>
          </w:p>
        </w:tc>
        <w:tc>
          <w:tcPr>
            <w:tcW w:w="31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DEFAULTS UPON SENIOR SECURITIES</w:t>
            </w:r>
          </w:p>
        </w:tc>
        <w:tc>
          <w:tcPr>
            <w:tcW w:w="5960" w:type="dxa"/>
            <w:vAlign w:val="bottom"/>
            <w:gridSpan w:val="10"/>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5.</w:t>
            </w:r>
          </w:p>
        </w:tc>
        <w:tc>
          <w:tcPr>
            <w:tcW w:w="18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OTHER INFORMATION</w:t>
            </w:r>
          </w:p>
        </w:tc>
        <w:tc>
          <w:tcPr>
            <w:tcW w:w="540" w:type="dxa"/>
            <w:vAlign w:val="bottom"/>
            <w:tcBorders>
              <w:top w:val="single" w:sz="8" w:color="0000FF"/>
            </w:tcBorders>
          </w:tcPr>
          <w:p>
            <w:pPr>
              <w:spacing w:after="0"/>
              <w:rPr>
                <w:sz w:val="20"/>
                <w:szCs w:val="20"/>
                <w:color w:val="auto"/>
              </w:rPr>
            </w:pPr>
          </w:p>
        </w:tc>
        <w:tc>
          <w:tcPr>
            <w:tcW w:w="6700" w:type="dxa"/>
            <w:vAlign w:val="bottom"/>
            <w:gridSpan w:val="12"/>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6.</w:t>
            </w: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4"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within the meaning of the U.S. federal securities laws.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These forward-looking statements are based on our current expectations and beliefs concerning future developments and their potential effects on us and include statements concerning, among other things, our plans, strategies and prospects, both business and financial. Although we believe our plans, intentions and expectations reflected in or suggested by these forward-looking statements are reasonable, we cannot give any assurance that we either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w:t>
      </w:r>
    </w:p>
    <w:p>
      <w:pPr>
        <w:spacing w:after="0" w:line="8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Many actual events and circumstances are beyond the control of the Company. Many factors could cause actual future results to differ materially from the forward-looking statements in this Report, including but not limited to:</w:t>
      </w:r>
    </w:p>
    <w:p>
      <w:pPr>
        <w:spacing w:after="0" w:line="174" w:lineRule="exact"/>
        <w:rPr>
          <w:sz w:val="20"/>
          <w:szCs w:val="20"/>
          <w:color w:val="auto"/>
        </w:rPr>
      </w:pPr>
    </w:p>
    <w:p>
      <w:pPr>
        <w:ind w:left="640" w:right="320" w:hanging="314"/>
        <w:spacing w:after="0" w:line="26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as expected, including due to challenges created by macroeconomic concerns, geopolitical uncertainty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trade relationships), financial market fluctuations and related factors;</w:t>
      </w:r>
    </w:p>
    <w:p>
      <w:pPr>
        <w:spacing w:after="0" w:line="20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market and sell our earth observation (“EO”) services and to convert our pipeline of potential contracts into actual revenues;</w:t>
      </w:r>
    </w:p>
    <w:p>
      <w:pPr>
        <w:spacing w:after="0" w:line="243" w:lineRule="exact"/>
        <w:rPr>
          <w:rFonts w:ascii="Times New Roman" w:cs="Times New Roman" w:eastAsia="Times New Roman" w:hAnsi="Times New Roman"/>
          <w:sz w:val="17"/>
          <w:szCs w:val="17"/>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risks related to the Secured Convertible Notes (as defined below);</w:t>
      </w:r>
    </w:p>
    <w:p>
      <w:pPr>
        <w:spacing w:after="0" w:line="244"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one or more of our largest customers;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considerable time and expense related to our sales efforts and the length and unpredictability of our sales cycle;</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defense-related contracts;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pricing structure;</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production of our satellites as planned;</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risks, challenges and uncertainties related to our expansion into new business lines;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SpaceX, to transport and launch our satellites into space;</w:t>
      </w:r>
    </w:p>
    <w:p>
      <w:pPr>
        <w:spacing w:after="0" w:line="245"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vendors and manufacturers to build and provide certain satellite components, products, or services, and the inability of these vendors and manufacturers to meet our needs;</w:t>
      </w:r>
    </w:p>
    <w:p>
      <w:pPr>
        <w:spacing w:after="0" w:line="190"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ground station and cloud-based computing infrastructure operated by third parties for value added services, and any errors, disruption, cybersecurity incidents, performance problems, or failure in their or our operational infrastructure;</w:t>
      </w:r>
    </w:p>
    <w:p>
      <w:pPr>
        <w:spacing w:after="0" w:line="17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certain minimum service requirements in our customer contracts;</w:t>
      </w:r>
    </w:p>
    <w:p>
      <w:pPr>
        <w:spacing w:after="0" w:line="232"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EO services and our dependence upon our ability to keep pace with the latest technological advances, including those related to artificial intelligence and machine learning;</w:t>
      </w:r>
    </w:p>
    <w:p>
      <w:pPr>
        <w:spacing w:after="0" w:line="176"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acquisition candidates or consummate acquisitions on acceptable terms, or our ability to successfully integrate acquisitions;</w:t>
      </w:r>
    </w:p>
    <w:p>
      <w:pPr>
        <w:spacing w:after="0" w:line="20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EO services;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international operations or unexpected changes to the regulatory environment in certain markets;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defects or errors in our products;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85090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the capital-intensive nature of our business and our ability to raise adequate capital to finance our business strategies;</w:t>
      </w:r>
    </w:p>
    <w:p>
      <w:pPr>
        <w:spacing w:after="0" w:line="232"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beyond our control related to the production, launch, commissioning, and/or operation of our satellites and related ground systems, software and analytic technologies;</w:t>
      </w:r>
    </w:p>
    <w:p>
      <w:pPr>
        <w:spacing w:after="0" w:line="203"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market for EO services to achieve the growth potential we expect;</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satellites and related equipment becoming impaired;</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failure of our satellites to operate as intended;</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launch delays, launch failures, and damage or destruction to our satellites during launch;</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risks and uncertainties related to our insurance that may not be covered by insurance;</w:t>
      </w:r>
    </w:p>
    <w:p>
      <w:pPr>
        <w:spacing w:after="0" w:line="232" w:lineRule="exact"/>
        <w:rPr>
          <w:rFonts w:ascii="Times New Roman" w:cs="Times New Roman" w:eastAsia="Times New Roman" w:hAnsi="Times New Roman"/>
          <w:sz w:val="18"/>
          <w:szCs w:val="18"/>
          <w:color w:val="auto"/>
        </w:rPr>
      </w:pPr>
    </w:p>
    <w:p>
      <w:pPr>
        <w:jc w:val="both"/>
        <w:ind w:left="640" w:hanging="314"/>
        <w:spacing w:after="0" w:line="253"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unusual or prolonged unfavorable weather conditions, epidemic outbreaks, terrorist acts and geopolitical events (including the ongoing conflicts between Russia and Ukraine, in the Gaza Strip and the Red Sea region) on our business and satellite launch schedules; and</w:t>
      </w:r>
    </w:p>
    <w:p>
      <w:pPr>
        <w:spacing w:after="0" w:line="214"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the anticipated benefits of our Domestication (as defined below) may not materialize.</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Risks, uncertainties and events may cause actual results to differ materially from the expectations described in our forward-looking statements.</w:t>
      </w:r>
    </w:p>
    <w:p>
      <w:pPr>
        <w:spacing w:after="0" w:line="219"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foregoing list of factors is not exhaustive. You should carefully consider the foregoing factors and the other risks and uncertainties described in Part II, “Item 7. Management’s Discussion and Analysis of Financial Condition and Results of Operations” of this Report, as well as Part I, "Item 1A. Risk Factors" in the Company’s Annual Report on Form 10-K for the fiscal year ended December 31, 2024 (the “2024 Annual Report”) and our other filings with the SEC. 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 The Company can give no assurance that it will achieve its expectations.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3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0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139"/>
        </w:trPr>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AND SUPPLEMENTAL DATA</w:t>
            </w:r>
          </w:p>
        </w:tc>
        <w:tc>
          <w:tcPr>
            <w:tcW w:w="1080" w:type="dxa"/>
            <w:vAlign w:val="bottom"/>
          </w:tcPr>
          <w:p>
            <w:pPr>
              <w:spacing w:after="0"/>
              <w:rPr>
                <w:sz w:val="24"/>
                <w:szCs w:val="24"/>
                <w:color w:val="auto"/>
              </w:rPr>
            </w:pPr>
          </w:p>
        </w:tc>
      </w:tr>
      <w:tr>
        <w:trPr>
          <w:trHeight w:val="879"/>
        </w:trPr>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and Other Financial Information</w:t>
            </w:r>
          </w:p>
        </w:tc>
        <w:tc>
          <w:tcPr>
            <w:tcW w:w="1080" w:type="dxa"/>
            <w:vAlign w:val="bottom"/>
          </w:tcPr>
          <w:p>
            <w:pPr>
              <w:spacing w:after="0"/>
              <w:rPr>
                <w:sz w:val="24"/>
                <w:szCs w:val="24"/>
                <w:color w:val="auto"/>
              </w:rPr>
            </w:pPr>
          </w:p>
        </w:tc>
      </w:tr>
      <w:tr>
        <w:trPr>
          <w:trHeight w:val="319"/>
        </w:trPr>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w:t>
            </w:r>
          </w:p>
        </w:tc>
        <w:tc>
          <w:tcPr>
            <w:tcW w:w="108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2025 and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0"/>
        </w:trPr>
        <w:tc>
          <w:tcPr>
            <w:tcW w:w="20" w:type="dxa"/>
            <w:vAlign w:val="bottom"/>
          </w:tcPr>
          <w:p>
            <w:pPr>
              <w:spacing w:after="0"/>
              <w:rPr>
                <w:sz w:val="22"/>
                <w:szCs w:val="22"/>
                <w:color w:val="auto"/>
              </w:rPr>
            </w:pPr>
          </w:p>
        </w:tc>
        <w:tc>
          <w:tcPr>
            <w:tcW w:w="6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 as of March 31, 2025 and December 31, 2024</w:t>
            </w:r>
          </w:p>
        </w:tc>
        <w:tc>
          <w:tcPr>
            <w:tcW w:w="3060" w:type="dxa"/>
            <w:vAlign w:val="bottom"/>
            <w:tcBorders>
              <w:top w:val="single" w:sz="8" w:color="0000FF"/>
            </w:tcBorders>
            <w:gridSpan w:val="3"/>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0"/>
        </w:trPr>
        <w:tc>
          <w:tcPr>
            <w:tcW w:w="20" w:type="dxa"/>
            <w:vAlign w:val="bottom"/>
          </w:tcPr>
          <w:p>
            <w:pPr>
              <w:spacing w:after="0"/>
              <w:rPr>
                <w:sz w:val="22"/>
                <w:szCs w:val="22"/>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Stockholders' Equity (Deficit) for the three months ended March 31, 2025 and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0"/>
        </w:trPr>
        <w:tc>
          <w:tcPr>
            <w:tcW w:w="20" w:type="dxa"/>
            <w:vAlign w:val="bottom"/>
          </w:tcPr>
          <w:p>
            <w:pPr>
              <w:spacing w:after="0"/>
              <w:rPr>
                <w:sz w:val="22"/>
                <w:szCs w:val="22"/>
                <w:color w:val="auto"/>
              </w:rPr>
            </w:pPr>
          </w:p>
        </w:tc>
        <w:tc>
          <w:tcPr>
            <w:tcW w:w="85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1560" w:type="dxa"/>
            <w:vAlign w:val="bottom"/>
            <w:gridSpan w:val="2"/>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0"/>
        </w:trPr>
        <w:tc>
          <w:tcPr>
            <w:tcW w:w="20" w:type="dxa"/>
            <w:vAlign w:val="bottom"/>
          </w:tcPr>
          <w:p>
            <w:pPr>
              <w:spacing w:after="0"/>
              <w:rPr>
                <w:sz w:val="22"/>
                <w:szCs w:val="22"/>
                <w:color w:val="auto"/>
              </w:rPr>
            </w:pPr>
          </w:p>
        </w:tc>
        <w:tc>
          <w:tcPr>
            <w:tcW w:w="74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660" w:type="dxa"/>
            <w:vAlign w:val="bottom"/>
            <w:gridSpan w:val="3"/>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913"/>
        </w:trPr>
        <w:tc>
          <w:tcPr>
            <w:tcW w:w="20" w:type="dxa"/>
            <w:vAlign w:val="bottom"/>
          </w:tcPr>
          <w:p>
            <w:pPr>
              <w:spacing w:after="0"/>
              <w:rPr>
                <w:sz w:val="24"/>
                <w:szCs w:val="24"/>
                <w:color w:val="auto"/>
              </w:rPr>
            </w:pPr>
          </w:p>
        </w:tc>
        <w:tc>
          <w:tcPr>
            <w:tcW w:w="4200" w:type="dxa"/>
            <w:vAlign w:val="bottom"/>
            <w:tcBorders>
              <w:top w:val="single" w:sz="8" w:color="0000FF"/>
            </w:tcBorders>
            <w:gridSpan w:val="2"/>
          </w:tcPr>
          <w:p>
            <w:pPr>
              <w:spacing w:after="0"/>
              <w:rPr>
                <w:sz w:val="24"/>
                <w:szCs w:val="24"/>
                <w:color w:val="auto"/>
              </w:rPr>
            </w:pPr>
          </w:p>
        </w:tc>
        <w:tc>
          <w:tcPr>
            <w:tcW w:w="200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amounts)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sales, exclusive of depreciation shown separately below</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37"/>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9,389</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Engineering</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Depreciation expense</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12,902</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17,926</w:t>
            </w:r>
          </w:p>
        </w:tc>
        <w:tc>
          <w:tcPr>
            <w:tcW w:w="0" w:type="dxa"/>
            <w:vAlign w:val="bottom"/>
          </w:tcPr>
          <w:p>
            <w:pPr>
              <w:spacing w:after="0"/>
              <w:rPr>
                <w:sz w:val="1"/>
                <w:szCs w:val="1"/>
                <w:color w:val="auto"/>
              </w:rPr>
            </w:pPr>
          </w:p>
        </w:tc>
      </w:tr>
      <w:tr>
        <w:trPr>
          <w:trHeight w:val="217"/>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(9,515)</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(14,598)</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Other (expense) income,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17"/>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(31,866)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(13,745)</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0" w:type="dxa"/>
            <w:vAlign w:val="bottom"/>
          </w:tcPr>
          <w:p>
            <w:pPr>
              <w:spacing w:after="0"/>
              <w:rPr>
                <w:sz w:val="1"/>
                <w:szCs w:val="1"/>
                <w:color w:val="auto"/>
              </w:rPr>
            </w:pPr>
          </w:p>
        </w:tc>
      </w:tr>
      <w:tr>
        <w:trPr>
          <w:trHeight w:val="21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available to stockholders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(32,581)</w:t>
            </w:r>
          </w:p>
        </w:tc>
        <w:tc>
          <w:tcPr>
            <w:tcW w:w="8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(15,178)</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gain (loss)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gain (loss), net of tax</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2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(32,324)</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(15,315)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loss per share for the period attributable to holders of Common Stock</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Basic weighted-average Common Stock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2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96,655,349</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90,331,496</w:t>
            </w:r>
          </w:p>
        </w:tc>
        <w:tc>
          <w:tcPr>
            <w:tcW w:w="0" w:type="dxa"/>
            <w:vAlign w:val="bottom"/>
          </w:tcPr>
          <w:p>
            <w:pPr>
              <w:spacing w:after="0"/>
              <w:rPr>
                <w:sz w:val="1"/>
                <w:szCs w:val="1"/>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loss per share for the period attributable to holders of Common Stock</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weighted-average Common Stock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96,655,349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90,331,496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par value amounts)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22,493</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 of $148 and $148, respectively</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r>
      <w:tr>
        <w:trPr>
          <w:trHeight w:val="221"/>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2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24,094</w:t>
            </w: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27,864</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25,802</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27,228</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r>
      <w:tr>
        <w:trPr>
          <w:trHeight w:val="22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2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61,402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54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61,691</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 EQUITY</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5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w:t>
            </w:r>
          </w:p>
        </w:tc>
        <w:tc>
          <w:tcPr>
            <w:tcW w:w="80" w:type="dxa"/>
            <w:vAlign w:val="bottom"/>
          </w:tcPr>
          <w:p>
            <w:pPr>
              <w:spacing w:after="0"/>
              <w:rPr>
                <w:sz w:val="20"/>
                <w:szCs w:val="20"/>
                <w:color w:val="auto"/>
              </w:rPr>
            </w:pPr>
          </w:p>
        </w:tc>
        <w:tc>
          <w:tcPr>
            <w:tcW w:w="5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0" w:type="dxa"/>
            <w:vAlign w:val="bottom"/>
          </w:tcPr>
          <w:p>
            <w:pPr>
              <w:spacing w:after="0"/>
              <w:rPr>
                <w:sz w:val="1"/>
                <w:szCs w:val="1"/>
                <w:color w:val="auto"/>
              </w:rPr>
            </w:pP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Warrant liabilities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14,902</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11,511</w:t>
            </w:r>
          </w:p>
        </w:tc>
        <w:tc>
          <w:tcPr>
            <w:tcW w:w="0" w:type="dxa"/>
            <w:vAlign w:val="bottom"/>
          </w:tcPr>
          <w:p>
            <w:pPr>
              <w:spacing w:after="0"/>
              <w:rPr>
                <w:sz w:val="1"/>
                <w:szCs w:val="1"/>
                <w:color w:val="auto"/>
              </w:rPr>
            </w:pP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Earnout liabilities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 liabilities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5,871</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13,661</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11,621</w:t>
            </w:r>
          </w:p>
        </w:tc>
        <w:tc>
          <w:tcPr>
            <w:tcW w:w="0" w:type="dxa"/>
            <w:vAlign w:val="bottom"/>
          </w:tcPr>
          <w:p>
            <w:pPr>
              <w:spacing w:after="0"/>
              <w:rPr>
                <w:sz w:val="1"/>
                <w:szCs w:val="1"/>
                <w:color w:val="auto"/>
              </w:rPr>
            </w:pP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41,594</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34,621</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Convertible Notes at fair value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96,590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79,070</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144,494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114,723</w:t>
            </w: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8"/>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$0.0001 par value, 5,000,000 shares authorized, 0 shares issued and outstanding as of March 31, 2025 and</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December 31, 2024</w:t>
            </w:r>
          </w:p>
        </w:tc>
        <w:tc>
          <w:tcPr>
            <w:tcW w:w="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Class A Common Stock, $0.0001 par value, 385,000,000 shares authorized, 84,451,437 shares issued and 83,883,614</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outstanding as of March 31, 2025 and 83,000,501 shares issued and 82,432,678 shares outstanding as of</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8"/>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December 31, 2024</w:t>
            </w: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Class B Common Stock, $0.0001 par value, 15,000,000 shares authorized, 13,582,642 shares issued and outstanding as of</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31, 2025 and December 31, 2024</w:t>
            </w:r>
          </w:p>
        </w:tc>
        <w:tc>
          <w:tcPr>
            <w:tcW w:w="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Treasury stock, at cost, 567,823 shares as of March 31, 2025 and December 31, 2024</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w:t>
            </w: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358,511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356,247</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(432,686)</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(400,105)</w:t>
            </w:r>
          </w:p>
        </w:tc>
      </w:tr>
      <w:tr>
        <w:trPr>
          <w:trHeight w:val="23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(deficit) equity</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(83,092)</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(53,032)</w:t>
            </w:r>
          </w:p>
        </w:tc>
      </w:tr>
      <w:tr>
        <w:trPr>
          <w:trHeight w:val="26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 equity</w:t>
            </w: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61,402</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61,691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2"/>
          <w:szCs w:val="12"/>
          <w:b w:val="1"/>
          <w:bCs w:val="1"/>
          <w:color w:val="auto"/>
        </w:rPr>
        <w:t>Shares</w:t>
      </w:r>
    </w:p>
    <w:p>
      <w:pPr>
        <w:jc w:val="center"/>
        <w:ind w:left="760"/>
        <w:spacing w:after="0"/>
        <w:rPr>
          <w:sz w:val="20"/>
          <w:szCs w:val="20"/>
          <w:color w:val="auto"/>
        </w:rPr>
      </w:pPr>
      <w:r>
        <w:rPr>
          <w:rFonts w:ascii="Times New Roman" w:cs="Times New Roman" w:eastAsia="Times New Roman" w:hAnsi="Times New Roman"/>
          <w:sz w:val="12"/>
          <w:szCs w:val="12"/>
          <w:b w:val="1"/>
          <w:bCs w:val="1"/>
          <w:color w:val="auto"/>
        </w:rPr>
        <w:t>Outstanding</w:t>
      </w:r>
    </w:p>
    <w:p>
      <w:pPr>
        <w:spacing w:after="0" w:line="19" w:lineRule="exact"/>
        <w:rPr>
          <w:sz w:val="20"/>
          <w:szCs w:val="20"/>
          <w:color w:val="auto"/>
        </w:rPr>
      </w:pPr>
    </w:p>
    <w:tbl>
      <w:tblPr>
        <w:tblLayout w:type="fixed"/>
        <w:tblInd w:w="1320" w:type="dxa"/>
        <w:tblCellMar>
          <w:top w:w="0" w:type="dxa"/>
          <w:left w:w="0" w:type="dxa"/>
          <w:bottom w:w="0" w:type="dxa"/>
          <w:right w:w="0" w:type="dxa"/>
        </w:tblCellMar>
      </w:tblPr>
      <w:tr>
        <w:trPr>
          <w:trHeight w:val="120"/>
        </w:trPr>
        <w:tc>
          <w:tcPr>
            <w:tcW w:w="4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75"/>
              <w:spacing w:after="0" w:line="120"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0"/>
        </w:trPr>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33"/>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of dollars, except share amounts)</w:t>
            </w:r>
          </w:p>
        </w:tc>
        <w:tc>
          <w:tcPr>
            <w:tcW w:w="76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Common</w:t>
            </w:r>
          </w:p>
        </w:tc>
        <w:tc>
          <w:tcPr>
            <w:tcW w:w="72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68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94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1"/>
                <w:szCs w:val="11"/>
                <w:color w:val="auto"/>
              </w:rPr>
            </w:pPr>
          </w:p>
        </w:tc>
        <w:tc>
          <w:tcPr>
            <w:tcW w:w="640" w:type="dxa"/>
            <w:vAlign w:val="bottom"/>
          </w:tcPr>
          <w:p>
            <w:pPr>
              <w:jc w:val="center"/>
              <w:ind w:right="75"/>
              <w:spacing w:after="0" w:line="133"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9"/>
        </w:trPr>
        <w:tc>
          <w:tcPr>
            <w:tcW w:w="4400" w:type="dxa"/>
            <w:vAlign w:val="bottom"/>
            <w:gridSpan w:val="2"/>
            <w:vMerge w:val="continue"/>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6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 (1)</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4"/>
                <w:szCs w:val="14"/>
                <w:color w:val="auto"/>
              </w:rPr>
            </w:pPr>
          </w:p>
        </w:tc>
        <w:tc>
          <w:tcPr>
            <w:tcW w:w="640" w:type="dxa"/>
            <w:vAlign w:val="bottom"/>
          </w:tcPr>
          <w:p>
            <w:pPr>
              <w:jc w:val="center"/>
              <w:ind w:right="75"/>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184"/>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90,303,985</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$ 344,144</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(8,603)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(283,833)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51,675</w:t>
            </w:r>
          </w:p>
        </w:tc>
        <w:tc>
          <w:tcPr>
            <w:tcW w:w="0" w:type="dxa"/>
            <w:vAlign w:val="bottom"/>
          </w:tcPr>
          <w:p>
            <w:pPr>
              <w:spacing w:after="0"/>
              <w:rPr>
                <w:sz w:val="1"/>
                <w:szCs w:val="1"/>
                <w:color w:val="auto"/>
              </w:rPr>
            </w:pPr>
          </w:p>
        </w:tc>
      </w:tr>
      <w:tr>
        <w:trPr>
          <w:trHeight w:val="173"/>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(15,178)</w:t>
            </w:r>
          </w:p>
        </w:tc>
        <w:tc>
          <w:tcPr>
            <w:tcW w:w="0" w:type="dxa"/>
            <w:vAlign w:val="bottom"/>
          </w:tcPr>
          <w:p>
            <w:pPr>
              <w:spacing w:after="0"/>
              <w:rPr>
                <w:sz w:val="1"/>
                <w:szCs w:val="1"/>
                <w:color w:val="auto"/>
              </w:rPr>
            </w:pPr>
          </w:p>
        </w:tc>
      </w:tr>
      <w:tr>
        <w:trPr>
          <w:trHeight w:val="193"/>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180"/>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RSUs vested</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227,622</w:t>
            </w: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0"/>
        </w:trPr>
        <w:tc>
          <w:tcPr>
            <w:tcW w:w="4400" w:type="dxa"/>
            <w:vAlign w:val="bottom"/>
            <w:gridSpan w:val="2"/>
            <w:shd w:val="clear" w:color="auto" w:fill="CCEEFF"/>
          </w:tcPr>
          <w:p>
            <w:pPr>
              <w:ind w:left="180"/>
              <w:spacing w:after="0" w:line="141" w:lineRule="exact"/>
              <w:rPr>
                <w:sz w:val="20"/>
                <w:szCs w:val="20"/>
                <w:color w:val="auto"/>
              </w:rPr>
            </w:pPr>
            <w:r>
              <w:rPr>
                <w:rFonts w:ascii="Times New Roman" w:cs="Times New Roman" w:eastAsia="Times New Roman" w:hAnsi="Times New Roman"/>
                <w:sz w:val="13"/>
                <w:szCs w:val="13"/>
                <w:color w:val="auto"/>
              </w:rPr>
              <w:t>Payments for withholding taxes related to the net share settlement of equity</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186"/>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awards</w:t>
            </w:r>
          </w:p>
        </w:tc>
        <w:tc>
          <w:tcPr>
            <w:tcW w:w="7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80" w:type="dxa"/>
            <w:vAlign w:val="bottom"/>
          </w:tcPr>
          <w:p>
            <w:pPr>
              <w:spacing w:after="0"/>
              <w:rPr>
                <w:sz w:val="15"/>
                <w:szCs w:val="15"/>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90,531,607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345,406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(299,011)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37,622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 (Continued)</w:t>
      </w:r>
    </w:p>
    <w:p>
      <w:pPr>
        <w:spacing w:after="0" w:line="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Shares</w:t>
      </w:r>
    </w:p>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Outstanding</w:t>
      </w:r>
    </w:p>
    <w:p>
      <w:pPr>
        <w:spacing w:after="0" w:line="19" w:lineRule="exact"/>
        <w:rPr>
          <w:sz w:val="20"/>
          <w:szCs w:val="20"/>
          <w:color w:val="auto"/>
        </w:rPr>
      </w:pPr>
    </w:p>
    <w:tbl>
      <w:tblPr>
        <w:tblLayout w:type="fixed"/>
        <w:tblInd w:w="1180" w:type="dxa"/>
        <w:tblCellMar>
          <w:top w:w="0" w:type="dxa"/>
          <w:left w:w="0" w:type="dxa"/>
          <w:bottom w:w="0" w:type="dxa"/>
          <w:right w:w="0" w:type="dxa"/>
        </w:tblCellMar>
      </w:tblPr>
      <w:tr>
        <w:trPr>
          <w:trHeight w:val="133"/>
        </w:trPr>
        <w:tc>
          <w:tcPr>
            <w:tcW w:w="37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72"/>
              <w:spacing w:after="0" w:line="13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vMerge w:val="continue"/>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80" w:type="dxa"/>
            <w:vAlign w:val="bottom"/>
          </w:tcPr>
          <w:p>
            <w:pPr>
              <w:jc w:val="center"/>
              <w:ind w:right="113"/>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6"/>
        </w:trPr>
        <w:tc>
          <w:tcPr>
            <w:tcW w:w="3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680" w:type="dxa"/>
            <w:vAlign w:val="bottom"/>
            <w:gridSpan w:val="2"/>
            <w:vMerge w:val="continue"/>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3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72"/>
              <w:spacing w:after="0" w:line="147"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 of dollars except share amounts)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7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loss (1)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7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8"/>
              </w:rPr>
              <w:t>(deficit)</w:t>
            </w:r>
          </w:p>
        </w:tc>
        <w:tc>
          <w:tcPr>
            <w:tcW w:w="0" w:type="dxa"/>
            <w:vAlign w:val="bottom"/>
          </w:tcPr>
          <w:p>
            <w:pPr>
              <w:spacing w:after="0"/>
              <w:rPr>
                <w:sz w:val="1"/>
                <w:szCs w:val="1"/>
                <w:color w:val="auto"/>
              </w:rPr>
            </w:pPr>
          </w:p>
        </w:tc>
      </w:tr>
      <w:tr>
        <w:trPr>
          <w:trHeight w:val="213"/>
        </w:trPr>
        <w:tc>
          <w:tcPr>
            <w:tcW w:w="3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96,015,320</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  356,247</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(8,603)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(571)</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(400,105)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(53,032)</w:t>
            </w:r>
          </w:p>
        </w:tc>
        <w:tc>
          <w:tcPr>
            <w:tcW w:w="0" w:type="dxa"/>
            <w:vAlign w:val="bottom"/>
          </w:tcPr>
          <w:p>
            <w:pPr>
              <w:spacing w:after="0"/>
              <w:rPr>
                <w:sz w:val="1"/>
                <w:szCs w:val="1"/>
                <w:color w:val="auto"/>
              </w:rPr>
            </w:pPr>
          </w:p>
        </w:tc>
      </w:tr>
      <w:tr>
        <w:trPr>
          <w:trHeight w:val="180"/>
        </w:trPr>
        <w:tc>
          <w:tcPr>
            <w:tcW w:w="3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(32,581)</w:t>
            </w:r>
          </w:p>
        </w:tc>
        <w:tc>
          <w:tcPr>
            <w:tcW w:w="0" w:type="dxa"/>
            <w:vAlign w:val="bottom"/>
          </w:tcPr>
          <w:p>
            <w:pPr>
              <w:spacing w:after="0"/>
              <w:rPr>
                <w:sz w:val="1"/>
                <w:szCs w:val="1"/>
                <w:color w:val="auto"/>
              </w:rPr>
            </w:pPr>
          </w:p>
        </w:tc>
      </w:tr>
      <w:tr>
        <w:trPr>
          <w:trHeight w:val="193"/>
        </w:trPr>
        <w:tc>
          <w:tcPr>
            <w:tcW w:w="3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Issuance of Common Stock under ATM Program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275,587</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3"/>
                <w:szCs w:val="13"/>
                <w:color w:val="auto"/>
              </w:rPr>
              <w:t>1,128</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0" w:type="dxa"/>
            <w:vAlign w:val="bottom"/>
          </w:tcPr>
          <w:p>
            <w:pPr>
              <w:spacing w:after="0"/>
              <w:rPr>
                <w:sz w:val="1"/>
                <w:szCs w:val="1"/>
                <w:color w:val="auto"/>
              </w:rPr>
            </w:pPr>
          </w:p>
        </w:tc>
      </w:tr>
      <w:tr>
        <w:trPr>
          <w:trHeight w:val="180"/>
        </w:trPr>
        <w:tc>
          <w:tcPr>
            <w:tcW w:w="3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0" w:type="dxa"/>
            <w:vAlign w:val="bottom"/>
          </w:tcPr>
          <w:p>
            <w:pPr>
              <w:spacing w:after="0"/>
              <w:rPr>
                <w:sz w:val="1"/>
                <w:szCs w:val="1"/>
                <w:color w:val="auto"/>
              </w:rPr>
            </w:pPr>
          </w:p>
        </w:tc>
      </w:tr>
      <w:tr>
        <w:trPr>
          <w:trHeight w:val="193"/>
        </w:trPr>
        <w:tc>
          <w:tcPr>
            <w:tcW w:w="3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Exercise of stock options and RSUs vested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1,175,349</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3"/>
                <w:szCs w:val="13"/>
                <w:color w:val="auto"/>
              </w:rPr>
              <w:t>916</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0" w:type="dxa"/>
            <w:vAlign w:val="bottom"/>
          </w:tcPr>
          <w:p>
            <w:pPr>
              <w:spacing w:after="0"/>
              <w:rPr>
                <w:sz w:val="1"/>
                <w:szCs w:val="1"/>
                <w:color w:val="auto"/>
              </w:rPr>
            </w:pPr>
          </w:p>
        </w:tc>
      </w:tr>
      <w:tr>
        <w:trPr>
          <w:trHeight w:val="134"/>
        </w:trPr>
        <w:tc>
          <w:tcPr>
            <w:tcW w:w="380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3"/>
                <w:szCs w:val="13"/>
                <w:color w:val="auto"/>
              </w:rPr>
              <w:t>Payments for withholding taxes related to the net share</w:t>
            </w: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tcPr>
          <w:p>
            <w:pPr>
              <w:spacing w:after="0"/>
              <w:rPr>
                <w:sz w:val="11"/>
                <w:szCs w:val="11"/>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0" w:type="dxa"/>
            <w:vAlign w:val="bottom"/>
          </w:tcPr>
          <w:p>
            <w:pPr>
              <w:spacing w:after="0"/>
              <w:rPr>
                <w:sz w:val="1"/>
                <w:szCs w:val="1"/>
                <w:color w:val="auto"/>
              </w:rPr>
            </w:pPr>
          </w:p>
        </w:tc>
      </w:tr>
      <w:tr>
        <w:trPr>
          <w:trHeight w:val="179"/>
        </w:trPr>
        <w:tc>
          <w:tcPr>
            <w:tcW w:w="3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settlement of equity awards</w:t>
            </w: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3"/>
                <w:szCs w:val="13"/>
                <w:color w:val="auto"/>
              </w:rPr>
              <w:t>595</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0" w:type="dxa"/>
            <w:vAlign w:val="bottom"/>
          </w:tcPr>
          <w:p>
            <w:pPr>
              <w:spacing w:after="0"/>
              <w:rPr>
                <w:sz w:val="1"/>
                <w:szCs w:val="1"/>
                <w:color w:val="auto"/>
              </w:rPr>
            </w:pPr>
          </w:p>
        </w:tc>
      </w:tr>
      <w:tr>
        <w:trPr>
          <w:trHeight w:val="186"/>
        </w:trPr>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97,466,256</w:t>
            </w:r>
          </w:p>
        </w:tc>
        <w:tc>
          <w:tcPr>
            <w:tcW w:w="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358,511</w:t>
            </w:r>
          </w:p>
        </w:tc>
        <w:tc>
          <w:tcPr>
            <w:tcW w:w="8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(314)</w:t>
            </w: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(432,686)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(83,092)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46" w:lineRule="exact"/>
        <w:rPr>
          <w:sz w:val="20"/>
          <w:szCs w:val="20"/>
          <w:color w:val="auto"/>
        </w:rPr>
      </w:pPr>
    </w:p>
    <w:p>
      <w:pPr>
        <w:ind w:firstLine="6"/>
        <w:spacing w:after="0" w:line="238" w:lineRule="auto"/>
        <w:tabs>
          <w:tab w:leader="none" w:pos="179"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Accumulated other Comprehensive loss consists of cumulative translation adjustments resulting from translating non-U.S. dollar denominated functional currency entities.</w:t>
      </w:r>
    </w:p>
    <w:p>
      <w:pPr>
        <w:spacing w:after="0" w:line="3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320" w:top="119"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(32,581)</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(15,178)</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expense</w:t>
            </w:r>
          </w:p>
        </w:tc>
        <w:tc>
          <w:tcPr>
            <w:tcW w:w="3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2,687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expense</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financial instruments, net of interest paid on Secured Convertible Notes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20,691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0" w:type="dxa"/>
            <w:vAlign w:val="bottom"/>
          </w:tcPr>
          <w:p>
            <w:pPr>
              <w:spacing w:after="0"/>
              <w:rPr>
                <w:sz w:val="1"/>
                <w:szCs w:val="1"/>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exchange differences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Expense for estimated credit losses on accounts receivable, net of recoveries</w:t>
            </w:r>
          </w:p>
        </w:tc>
        <w:tc>
          <w:tcPr>
            <w:tcW w:w="3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change in contract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3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88"/>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Contract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8"/>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(4,722)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(10,115)</w:t>
            </w:r>
          </w:p>
        </w:tc>
      </w:tr>
      <w:tr>
        <w:trPr>
          <w:trHeight w:val="38"/>
        </w:trPr>
        <w:tc>
          <w:tcPr>
            <w:tcW w:w="82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r>
      <w:tr>
        <w:trPr>
          <w:trHeight w:val="38"/>
        </w:trPr>
        <w:tc>
          <w:tcPr>
            <w:tcW w:w="82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(1,913)</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(1,942)</w:t>
            </w:r>
          </w:p>
        </w:tc>
      </w:tr>
      <w:tr>
        <w:trPr>
          <w:trHeight w:val="16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38"/>
        </w:trPr>
        <w:tc>
          <w:tcPr>
            <w:tcW w:w="8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withholding taxes related to the net share settlement of equity awards</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under ATM Program, net of transaction costs</w:t>
            </w:r>
          </w:p>
        </w:tc>
        <w:tc>
          <w:tcPr>
            <w:tcW w:w="5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8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2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916</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1,684</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(184)</w:t>
            </w:r>
          </w:p>
        </w:tc>
      </w:tr>
      <w:tr>
        <w:trPr>
          <w:trHeight w:val="38"/>
        </w:trPr>
        <w:tc>
          <w:tcPr>
            <w:tcW w:w="82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(12,241)</w:t>
            </w:r>
          </w:p>
        </w:tc>
      </w:tr>
      <w:tr>
        <w:trPr>
          <w:trHeight w:val="18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5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r>
      <w:tr>
        <w:trPr>
          <w:trHeight w:val="38"/>
        </w:trPr>
        <w:tc>
          <w:tcPr>
            <w:tcW w:w="8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2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23,682</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24,603</w:t>
            </w:r>
          </w:p>
        </w:tc>
      </w:tr>
      <w:tr>
        <w:trPr>
          <w:trHeight w:val="214"/>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18,908</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12,904</w:t>
            </w:r>
          </w:p>
        </w:tc>
      </w:tr>
      <w:tr>
        <w:trPr>
          <w:trHeight w:val="26"/>
        </w:trPr>
        <w:tc>
          <w:tcPr>
            <w:tcW w:w="8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the Business</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January 25, 2022 (the “Closing Date”), Satellogic Inc. (“Satellogic” or the “Company”), a British Virgin Islands (“BVI”) business company incorporated in the BVI as a company limited by shares, consummated the transactions contemplated by the Agreement and Plan of Merger dated as of July 5, 2021 (the “Merger Agreement,” and the transactions consummated pursuant thereto, the “Merger”), by and among the Company, CF Acquisition Corp. V, a Delaware corporation (“CF V” and now known as “Satellogic V Inc.”), Ganymede Merger Sub 1 Inc., a BVI business company incorporated in the BVI as a company limited by shares and a direct wholly owned subsidiary of the Company, Ganymede Merger Sub 2 Inc., a Delaware corporation and a direct wholly owned subsidiary of the Company, and Nettar Group Inc., a BVI business company incorporated in the BVI as a company limited by shares and a direct wholly-owned subsidiary of the Company (“Nettar” or the “Borrower”).</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Nettar was, prior to the Merger, the holding company of the Satellogic group and was incorporated on October 7, 2014, under the laws of the BVI as a company limited by shares. The registered office of Satellogic is located at Kingston Chambers BOX 173 C/O Maples Corporate Services BVI LTD Road Town, Tortola D8 VG1110.</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26, 2025, we filed with the Secretary of State of the State of Delaware a certificate of corporate domestication and a certificate of incorporation of a Delaware corporation with the name “Satellogic Inc.,” as well as filed with the Registrar of Corporate Affairs in the BVI a notice of the Company’s continuance out of the BVI, pursuant to which we domesticated and are continuing as a Delaware corporation (the “Domestication”). On the effective date of the Domestication, each of our BVI Ordinary Shares and BVI Warrants automatically converted by operation of law, on a one-for-one basis, into shares of Class A common stock, Class B common stock and warrants to purchase Class A common stock, respectively.</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References to “Nettar” contained herein refer to Nettar Group Inc. prior to the Merger, and references to “the Company,” “we,” “our,” “us” or “Satellogic” refer to Satellogic Inc. prior to the Merger and to the combined company following the Merger.</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subsidiaries, we invest in the software, hardware, and optics of the aerospace industry focusing on satellite and image analytics technologies. Our strategy is to build a planetary scale analytics platform based on a proprietary satellite constellation with the capability to generate insights from images and information, with focus on multi-temporal analysis and high frequency of revisits. We also intend to leverage our ability to quickly build and launch high quality, sub-meter satellites at a low cost by selling satellites to certain key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as of March 31, 2025 and December 31, 2024 and for the three months ended March 31, 2025 and March 31, 2024 (the “Condensed Consolidated Financial Statements”) have been prepared in accordance with generally accepted accounting principles in the United States (“U.S. GAAP”) and the rules and regulations of the U.S. Securities and Exchange Commission (“SEC”). The Company conducts business through one operating segment.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our accounts and those of our wholly owned subsidiaries. All intercompany accounts and transactions, including the intercompany portion of transactions with equity method investees, have been eliminated in consolidation. The Condensed Consolidated Financial Statements are presented in United States dollars (hereinafter “U.S. dollars” or “$”).</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3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that has different application dates for public or private companies, we can adopt the new or revised standard at the time required for private companies to adopt such standard. The foregoing may make comparison of our financial statements with those of another public company difficult or impossible if such other public company is (i) not an emerging growth company or (ii) is an emerging growth company that has opted out of using the extended transition period, due to the potential differences in accounting standards used.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and Liquidity</w:t>
      </w:r>
    </w:p>
    <w:p>
      <w:pPr>
        <w:spacing w:after="0" w:line="2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evaluated whether there are any conditions and events, considered in the aggregate, that raise substantial doubt about our ability to continue as a going concern over the next twelve months through May 2026. Since inception, we have incurred significant operating losses and have an accumulated deficit of $432.7 million as of March 31, 2025, with net cash used in operating activities of $4.7 million for the three months ended March 31, 2025. As of March 31, 2025, our existing sources of liquidity included cash and cash equivalents of $17.7 million. We believe that this current level of cash and cash equivalents is not sufficient to fund operations and capital expenditures to reach larger scale revenue generation from our product offerings.</w:t>
      </w:r>
    </w:p>
    <w:p>
      <w:pPr>
        <w:spacing w:after="0" w:line="2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 order for us to proceed and reach larger scale revenue generation, we will need to raise additional funds through the issuance of additional equity, debt or both. Until such time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may be diluted, and the terms of these securities may include liquidation or other preferences that adversely affect the rights of common stockholders. Debt financing and equity financing, if available, may involve agreements that include covenants limiting or restricting our ability to take specific actions, such as incurring additional debt, making acquisitions or capital expenditures or declaring dividends. If we are unable to obtain sufficient financial resources, our business, financial condition and results of operations will be materially and adversely affected. There can be no assurance that we will be able to obtain the needed financing on acceptable terms or at all. In an effort to alleviate these conditions, we continue to seek and evaluate opportunities to raise additional capital through the issuance of equity or debt securities.</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On April 12, 2024, the Company, Borrower, and Holder Representative entered into the Note Purchase Agreement with Tether Investments Limited (the “Purchaser”), pursuant to which the Borrower agreed to issue the Secured Convertible Notes in the aggregate principal amount of $30.0 million to the Purchaser.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the Borrower), and are secured by substantially all of the Company’s and its subsidiaries’ assets (including all of its intellectual property). The Borrower may issue additional Secured Convertible Notes under the terms thereof, provided the aggregate principal outstanding amount does not exceed $50.0 million. The Secured Convertible Notes mature on April 12, 2028.</w:t>
      </w:r>
    </w:p>
    <w:p>
      <w:pPr>
        <w:spacing w:after="0" w:line="2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December 8, 2024, the Company entered into a Share Purchase Agreement with the purchaser party thereto, pursuant to which the Company issued in a private placement an aggregate of 3,571,429 Class A common stock to the purchaser at a purchase price of $2.80 per share. The closing of the private placement occurred on December 10, 2024 and the Company received gross proceeds of $10.0 million. The net proceeds from the offering will be used for general corporate purposes.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December 20, 2024, the Company entered into a Controlled Equity Sales Agreement (the “Sales Agreement”) with Cantor Fitzgerald &amp; Co. (“CF&amp;Co.”), acting as the Company’s sales agent, pursuant to which the Company may offer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40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sell, from time to time, through the Sales Agent, its Class A common stock of the Company, par value $0.0001 per share, having an aggregate offering amount of up to $50.0 million. On February 12, 2025, the Company entered into an Amended and Restated Sales Agreement (the “Amended Sales Agreement”) with CF&amp;Co. and Northland Securities, Inc. (“Northland” and, together with CF&amp;Co., the “Sales Agents” and, each, a “Sales Agent”), pursuant to which Northland was added as an additional Sales Agent in connection with the Company’s offer and sale, from time to time, through the Sales Agents, of its Class A common stock, having an aggregate offering amount of up to $50.0 million. On April 9, 2025, the Company entered into a Second Amended and Restated Sales Agreement (the “Second A&amp;R Sales Agreement”) with the Sales Agents, pursuant to which references to the Company’s Class A ordinary shares were replaced with references to the Company’s Class A common stock, along with other conforming changes, in connection with the Domestication (together, the “ATM Program”). The Company has sold $1.2 million aggregate amount of Class A common stock pursuant to the ATM Program, resulting in net proceeds of $1.1 million. The net proceeds from the ATM Program will be used for general corporate purposes.</w:t>
      </w:r>
    </w:p>
    <w:p>
      <w:pPr>
        <w:spacing w:after="0" w:line="2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April 15, 2025, the Company entered into a securities purchase agreement (the “Securities Purchase Agreement”) with the purchaser party thereto, pursuant to which the Company agreed to issue and sell in a registered direct offering (the “Registered Direct Offering”), 6,451,612 shares of the Company’s Class A common stock at an offering price of $3.10 per share. The gross proceeds to the Company from the Registered Direct Offering were approximately $20,000,000. The net proceeds from the Registered Direct Offering will be used for general corporate purposes. See Note 17 (Subsequent Events) of this Report for further details.</w:t>
      </w:r>
    </w:p>
    <w:p>
      <w:pPr>
        <w:spacing w:after="0" w:line="20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Although we have been able to secure debt financing of approximately $27.6 million during the second quarter of 2024 (refer to Note 15 (Secured Convertible Notes)), approximately $10.0 million from the Share Purchase Agreement in December 2024, and approximately $20.0 million from the Securities Purchase Agreement in April 2025, we do not believe this incremental funding will be sufficient to fund our operations for the next twelve months through May 2026. As a result of these uncertainties, and notwithstanding our plans and efforts to date, there is substantial doubt about our ability to continue as a going concern for one year from the date of when these unaudited Condensed Consolidated Financial Statements are issued. 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spacing w:after="0" w:line="19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assuming we will continue as a going concern. The going concern basis of presentation assumes that we will continue in operation one year after the date these unaudited Condensed Consolidated Financial Statements are issued, and we will be able to realize its assets and discharge its liabilities and commitments in the normal course of business. If we cannot continue as a going concern, adjustments to the carrying values and classification of our assets and liabilities and the reported amounts of income and expenses could be required and could be material. We are continuing to take actions to secure sufficient financing (as described above) and thus believe that the application of the going concern assumption for the preparation of the Condensed Consolidated Financial Statements is appropriate.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preparation of the Condensed Consolidated Financial Statements in conformity with U.S. GAAP requires management to make estimates and assumptions that affect the reported amounts of assets and liabilities, the disclosure of contingent liabilities at the date of the financial statements, and the reported amounts of revenue and expenses during the reporting period. Significant estimates and assumptions reflected in these Condensed Consolidated Financial Statements include, but are not limited to, revenue recognition; determination of useful lives of property and equipment; valuation of Secured Convertible Notes, warrant liabilities, earnout liabilities and stock options; and determination of income tax. We evaluate our estimates and assumptions on an ongoing basis. Actual results could differ from those estimates and such differences may be material to the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We recognize revenue in accordance with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Revenue is recognized when a customer obtains control of promised goods or services. In addition, the standard requires disclosure of the nature, amount, timing, and uncertainty of revenue and cash flows arising from contracts with customers. The amount of revenue that is recorded reflects the consideration that we expect to receive in exchange for goods or services provided under such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contracts. We apply the following five-step model in order to determine this amount: (i) identification of the promised goods in the contract; (ii) determination of whether the promised goods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main revenue stream is from services. We recognize as revenues the amount of the transaction price that is allocated to the respective performance obligation when or as the performance obligation is satisfied, either over time or a point in time. Revenue is recognized upon delivery for asset monitoring contracts in which performance obligations are satisfied at a point in time upon image delivery. The Company has determined that it provides a series of distinct services in which the customer simultaneously receives and consumes data, so therefore the Company recognizes revenue ratably over the subscription period. For Space Systems contracts, revenue is typically recognized at a point in time, upon delivery of equipment.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nature of our contracts does not currently give rise to variable consideration related to returns or refunds as those are not offered.</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evaluate contracts with a minimum purchase commitment to determine whether we expect to be entitled to a breakage amount. We consider the requirements on constraining estimates variable consideration. The following factors are evaluated when assessing the increased likelihood of a significant revenue reversal: (i) the amount of consideration is highly susceptible to factors outside our influence or control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volatility in a market, judgment of action of third parties, weather conditions), (ii) uncertainty about the amount of consideration is not expected to be resolved for a long period of time, (iii) our experience with similar types of contracts is limited, or that experience has limited predictive value, (iv) we have a practice of either offering a broad range of price concessions or changing the payment terms and conditions of similar contracts in similar circumstances, and (v) the contract has a large number and broad range of possible consideration amounts.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exclude amounts collected on behalf of third parties, such as sales taxes, when determining transaction price.</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Contract liabilities consist of payments received from customers, or such consideration that is contractually due, in advance of providing the product or performing services.</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generally do not enter into long-term financing arrangements or payment plans with customers. Although our business practice is not to enter into contracts with non-cash consideration, at times this may occur. In these instances, we determine the fair value of the non-cash consideration at contract inception and includes this value as part of the total arrangement consideration. In instances where we cannot reasonably estimate the fair value of the non-cash consideration, we will measure the consideration indirectly by reference to its stand-alone selling price of the goods promised to the customer in exchange for consideration.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assets and liabilities are carried at fair value in accordance with U.S. GAAP.</w:t>
      </w: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Valuation techniques used to measure fair value requires us to utilize observable and unobservable inputs. The hierarchy gives the highest priority to quoted prices in active markets for identical assets or liabilities (Level 1 measurements) and the lowest priority to unobservable inputs (Level 3 measurements). Financial instruments carried at fair value are to be classified and disclosed in one of the following three levels of the fair value hierarchy, of which the first two are considered observable and the last is considered unobservable:</w:t>
      </w:r>
    </w:p>
    <w:p>
      <w:pPr>
        <w:spacing w:after="0" w:line="176" w:lineRule="exact"/>
        <w:rPr>
          <w:sz w:val="20"/>
          <w:szCs w:val="20"/>
          <w:color w:val="auto"/>
        </w:rPr>
      </w:pPr>
    </w:p>
    <w:p>
      <w:pPr>
        <w:ind w:left="640" w:hanging="31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0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Valuation techniques for which the lowest level input that is significant to the fair value measurement is directly or indirectly observable.</w:t>
      </w:r>
    </w:p>
    <w:p>
      <w:pPr>
        <w:spacing w:after="0" w:line="218"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 techniques for which the lowest level input that is significant to the fair value measurement is unobservable.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Assets and liabilities recognized at fair value on a recurring basis in the Condensed Consolidated Financial Statements are re-assessed at the end of each reporting period to determine whether any transfers have occurred between levels in the hierarchy.</w:t>
      </w:r>
    </w:p>
    <w:p>
      <w:pPr>
        <w:spacing w:after="0" w:line="17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fair value disclosures, classes of assets and liabilities are based on the nature, characteristics and risks of the asset or liability and the level of the fair value hierarchy.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management</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Credit risk is the risk that a counterparty fails to discharge an obligation to us. We are exposed to credit risk from financial assets including cash, cash equivalents and restricted cash held at banks, trade and other receivables.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risk is managed based on our credit risk management policies and procedures. Credit risk of any entity doing business with us is systematically analyzed, including aspects of a qualitative nature. The measurement and assessment of our total exposure to credit risk covers all financial instruments involving any counterparty risk.</w:t>
      </w:r>
    </w:p>
    <w:p>
      <w:pPr>
        <w:spacing w:after="0" w:line="1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credit risk in respect of cash balances held with banks and deposits with banks are managed via diversification of bank deposits and are only with major reputable financial institutions.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our risk exposure is mainly influenced by the individual characteristics of each customer, we continuously analyze the creditworthiness of significant customers. Accounts receivable are non-interest bearing and generally on terms of 30 to 90 days. As of March 31, 2025, </w:t>
      </w:r>
      <w:r>
        <w:rPr>
          <w:rFonts w:ascii="Times New Roman" w:cs="Times New Roman" w:eastAsia="Times New Roman" w:hAnsi="Times New Roman"/>
          <w:sz w:val="15"/>
          <w:szCs w:val="15"/>
          <w:color w:val="auto"/>
        </w:rPr>
        <w:t>two</w:t>
      </w:r>
      <w:r>
        <w:rPr>
          <w:rFonts w:ascii="Times New Roman" w:cs="Times New Roman" w:eastAsia="Times New Roman" w:hAnsi="Times New Roman"/>
          <w:sz w:val="18"/>
          <w:szCs w:val="18"/>
          <w:color w:val="auto"/>
        </w:rPr>
        <w:t xml:space="preserve"> customers accounted for 66% of accounts receivable, net of allowance. As of December 31, 2024, </w:t>
      </w:r>
      <w:r>
        <w:rPr>
          <w:rFonts w:ascii="Times New Roman" w:cs="Times New Roman" w:eastAsia="Times New Roman" w:hAnsi="Times New Roman"/>
          <w:sz w:val="15"/>
          <w:szCs w:val="15"/>
          <w:color w:val="auto"/>
        </w:rPr>
        <w:t>two</w:t>
      </w:r>
      <w:r>
        <w:rPr>
          <w:rFonts w:ascii="Times New Roman" w:cs="Times New Roman" w:eastAsia="Times New Roman" w:hAnsi="Times New Roman"/>
          <w:sz w:val="18"/>
          <w:szCs w:val="18"/>
          <w:color w:val="auto"/>
        </w:rPr>
        <w:t xml:space="preserve"> customers accounted for 70% of our accounts receivable net of allowance.</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We had four customers that each accounted for more than 10% of our revenue totaling $2.7 million for the three months ended March 31, 2025 and three customers </w:t>
      </w:r>
      <w:r>
        <w:rPr>
          <w:rFonts w:ascii="Times New Roman" w:cs="Times New Roman" w:eastAsia="Times New Roman" w:hAnsi="Times New Roman"/>
          <w:sz w:val="15"/>
          <w:szCs w:val="15"/>
          <w:color w:val="auto"/>
        </w:rPr>
        <w:t>that each</w:t>
      </w:r>
      <w:r>
        <w:rPr>
          <w:rFonts w:ascii="Times New Roman" w:cs="Times New Roman" w:eastAsia="Times New Roman" w:hAnsi="Times New Roman"/>
          <w:sz w:val="18"/>
          <w:szCs w:val="18"/>
          <w:color w:val="auto"/>
        </w:rPr>
        <w:t xml:space="preserve"> accounted for more than 10% of our revenue totaling $2.6 million for the three months ended March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assess potential impairments to long-lived assets whenever events or changes in circumstances indicate that the carrying amount may not be fully recoverable. An impairment is considered to exist if the total estimated future cash flows on an undiscounted basis are less than the carrying amount of the assets or asset group. We performed an impairment test as of March 31, 2025 due to our net losses for the three months then ended and concluded that the asset group is not impaired.</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Estimates of future cash flows are highly subjective judgments based on management’s experience and knowledge of the Company's operations. These estimates can be significantly impacted by many factors, including changes in global economic conditions, operating costs, obsolescence of technology and competition.</w:t>
      </w:r>
    </w:p>
    <w:p>
      <w:pPr>
        <w:spacing w:after="0" w:line="2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estimates or underlying assumptions change in the future, we may be required to record impairment charges. If the fair value of an asset group is less than its carrying amount, then the carrying amount of the asset group would be reduced to its fair value. That reduction is an impairment loss that would be recognized in the Consolidated Statements of Operations and Comprehensive Loss.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w:t>
      </w:r>
    </w:p>
    <w:p>
      <w:pPr>
        <w:spacing w:after="0" w:line="2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account for our equity investment in which we have significant influence, but not a controlling financial interest, using the equity method of accounting. Under the equity method of accounting, investments are initially recorded at cost, less impairment, and subsequently adjusted to recognize our share of earnings or losses as a component of Other (expense) income, net in the Consolidated Statements of Operations and Comprehensive Loss. Our equity method investment is required to be reviewed for impairment when it is determined there may be an other-than-temporary loss in value. We have not recorded any impairment losses related to our equity method investment during the three months ended March 31,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measure and recognize all stock-based compensation expense based on estimated fair values for all stock-based awards made to employees and non-employees using a graded vesting schedule. Compensation cost is recognized over the requisite service period for each separate tranche, as though each tranche of the award is, in substance, a separate award. The expense calculation includes estimated forfeiture rates, which have been developed based upon historical experience.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for stock options are calculated using the Black-Scholes option pricing model using the following inputs:</w:t>
      </w: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Expected term - </w:t>
      </w:r>
      <w:r>
        <w:rPr>
          <w:rFonts w:ascii="Times New Roman" w:cs="Times New Roman" w:eastAsia="Times New Roman" w:hAnsi="Times New Roman"/>
          <w:sz w:val="18"/>
          <w:szCs w:val="18"/>
          <w:color w:val="auto"/>
        </w:rPr>
        <w:t>The simplified method is used to calculate the expected term.</w:t>
      </w:r>
    </w:p>
    <w:p>
      <w:pPr>
        <w:spacing w:after="0" w:line="232" w:lineRule="exact"/>
        <w:rPr>
          <w:sz w:val="20"/>
          <w:szCs w:val="20"/>
          <w:color w:val="auto"/>
        </w:rPr>
      </w:pPr>
    </w:p>
    <w:p>
      <w:pPr>
        <w:ind w:left="6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We determine the expected stock price volatility based on the historical volatilities of guideline companies from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w:t>
      </w:r>
    </w:p>
    <w:p>
      <w:pPr>
        <w:spacing w:after="0" w:line="200" w:lineRule="exact"/>
        <w:rPr>
          <w:sz w:val="20"/>
          <w:szCs w:val="20"/>
          <w:color w:val="auto"/>
        </w:rPr>
      </w:pPr>
    </w:p>
    <w:p>
      <w:pPr>
        <w:ind w:left="6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 </w:t>
      </w:r>
      <w:r>
        <w:rPr>
          <w:rFonts w:ascii="Times New Roman" w:cs="Times New Roman" w:eastAsia="Times New Roman" w:hAnsi="Times New Roman"/>
          <w:sz w:val="18"/>
          <w:szCs w:val="18"/>
          <w:color w:val="auto"/>
        </w:rPr>
        <w:t>We do not use a dividend rate due to the fact that we have never declared or paid cash dividends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we do not anticipate doing so in the foreseeable future.</w:t>
      </w:r>
    </w:p>
    <w:p>
      <w:pPr>
        <w:spacing w:after="0" w:line="187" w:lineRule="exact"/>
        <w:rPr>
          <w:sz w:val="20"/>
          <w:szCs w:val="20"/>
          <w:color w:val="auto"/>
        </w:rPr>
      </w:pPr>
    </w:p>
    <w:p>
      <w:pPr>
        <w:ind w:left="640"/>
        <w:spacing w:after="0" w:line="278"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We base our interest rate on a treasury instrument for which the term is commensurate with the maximum expected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w:t>
      </w:r>
    </w:p>
    <w:p>
      <w:pPr>
        <w:spacing w:after="0" w:line="17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fair values for restricted stock units ("RSUs") with service-based vesting conditions are calculated based upon our closing stock price on the date of the grant.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Currencies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financial position and results of operations of certain of our foreign subsidiaries are measured using the local currency as the functional currency. Revenues and expenses of these subsidiaries have been translated into U.S. dollars at average exchange rates prevailing during the period. Assets and liabilities of these subsidiaries have been translated at the exchange rates as of the balance sheet date. Translation gains and losses are recorded in accumulated other comprehensive loss.</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Aggregate foreign currency gains and losses, such as those resulting from the settlement of receivables or payables, foreign currency contracts and short-term intercompany advances in a currency other than the relevant subsidiary’s functional currency, are recorded currently in the Consolidated Statements of Operations and Comprehensive Loss (included in other (expense) income, net) and resulted in losses of $0.2 million and gains of $1.3 million during the three months ended March 31, 2025 and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determine if a contract is a lease or contains a lease at inception. On the lease commencement date, we recognize a right-of-use (“ROU”) asset and lease liability related to operating type leases. The cost of ROU assets includes the amount of lease liabilities recognized, initial direct costs incurred, and lease payments made at or before the commencement date less any lease incentives received. Operating lease liabilities are recorded based on the present value of the future lease fixed payments. In determining the present value of future lease payments, we use our incremental borrowing rate applicable to the economic environment and the duration of the lease based on the information available at the commencement date as the majority of leases do not provide an implicit rate. For real estate and equipment contracts, we generally account for the lease and non-lease components as a single lease component. In assessing the lease term, we include options to renew only when we are reasonably certain that such option(s) will be exercised; a determination which is at our sole discretion. Variable lease payments are recognized as expenses in the period incurred. For leases with an initial term of 12 months or less, we have elected to not record an ROU asset and lease liability. We record lease expense on a straight-line basis over the shorter of the lease term and the estimated useful lives of the assets, beginning on the commencement date.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remeasure and reallocate the consideration in a lease when there is a modification of the lease that is not accounted for as a separate contract. The lease liability is remeasured when there is a change in the lease term or in the assessment of whether we will exercise a lease option. We assess ROU assets for impairment in accordance with our long-lived asset impairment policy.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lease agreements with contractually required lease and non-lease components on a combined basis. Lease payments made for cancellable leases, variable amounts that are not based on an observable index and lease agreements with an original duration of less than 12 months are recorded directly to lease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periods presented, we do not have any financing type leases.</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2025 and 2024, lease expense was $0.4 million and $0.5 million, respectively. The decrease in lease expense was due primarily to the 2024 termination of a facility lease in the Netherlands. Lease obligations and right of use assets increased as of March 31, 2025 compared to December 31, 2024 due primarily to new ground station antenna leases in the three months ended March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Trade accounts receivable are stated at the amount owed by the customer, net of allowances for estimated credit losses, discounts, returns and rebates. We measure the allowance for credit losses based on the estimated loss. In calculating an allowance for credit losses, we use our historical experience, external indicators, forward-looking information and an aging method. Generally, we assess collectability of trade accounts receivable on a collective basis as they possess shared credit risk characteristics which have been grouped based on the days past due. For certain customers that have a large percentage of our total accounts receivable, we analyze them on a specific basis to determine expected collectability.</w:t>
      </w:r>
    </w:p>
    <w:p>
      <w:pPr>
        <w:spacing w:after="0" w:line="18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Accounts are written off against the allowance account when they are determined to be no longer collectible. The following table shows the activity in the allowance for credit losses for the three months ended March 31, 2025 and 2024:</w:t>
      </w:r>
    </w:p>
    <w:p>
      <w:pPr>
        <w:spacing w:after="0" w:line="19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00" w:type="dxa"/>
            <w:vAlign w:val="bottom"/>
          </w:tcPr>
          <w:p>
            <w:pPr>
              <w:spacing w:after="0"/>
              <w:rPr>
                <w:sz w:val="17"/>
                <w:szCs w:val="17"/>
                <w:color w:val="auto"/>
              </w:rPr>
            </w:pPr>
          </w:p>
        </w:tc>
        <w:tc>
          <w:tcPr>
            <w:tcW w:w="10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3"/>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doubtful accounts as of beginning of period</w:t>
            </w:r>
          </w:p>
        </w:tc>
        <w:tc>
          <w:tcPr>
            <w:tcW w:w="440" w:type="dxa"/>
            <w:vAlign w:val="bottom"/>
            <w:shd w:val="clear" w:color="auto" w:fill="CCEEFF"/>
          </w:tcPr>
          <w:p>
            <w:pPr>
              <w:jc w:val="center"/>
              <w:ind w:left="85"/>
              <w:spacing w:after="0"/>
              <w:rPr>
                <w:sz w:val="20"/>
                <w:szCs w:val="20"/>
                <w:color w:val="auto"/>
              </w:rPr>
            </w:pPr>
            <w:r>
              <w:rPr>
                <w:rFonts w:ascii="Times New Roman" w:cs="Times New Roman" w:eastAsia="Times New Roman" w:hAnsi="Times New Roman"/>
                <w:sz w:val="16"/>
                <w:szCs w:val="16"/>
                <w:color w:val="auto"/>
                <w:w w:val="99"/>
              </w:rPr>
              <w:t>148</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30"/>
        </w:trPr>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Provision</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49"/>
        </w:trPr>
        <w:tc>
          <w:tcPr>
            <w:tcW w:w="9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 offs</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Recoveries collected</w:t>
            </w: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center"/>
              <w:ind w:left="65"/>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doubtful accounts as of end of period</w:t>
            </w:r>
          </w:p>
        </w:tc>
        <w:tc>
          <w:tcPr>
            <w:tcW w:w="440" w:type="dxa"/>
            <w:vAlign w:val="bottom"/>
            <w:shd w:val="clear" w:color="auto" w:fill="CCEEFF"/>
          </w:tcPr>
          <w:p>
            <w:pPr>
              <w:jc w:val="center"/>
              <w:ind w:left="85"/>
              <w:spacing w:after="0"/>
              <w:rPr>
                <w:sz w:val="20"/>
                <w:szCs w:val="20"/>
                <w:color w:val="auto"/>
              </w:rPr>
            </w:pPr>
            <w:r>
              <w:rPr>
                <w:rFonts w:ascii="Times New Roman" w:cs="Times New Roman" w:eastAsia="Times New Roman" w:hAnsi="Times New Roman"/>
                <w:sz w:val="16"/>
                <w:szCs w:val="16"/>
                <w:b w:val="1"/>
                <w:bCs w:val="1"/>
                <w:color w:val="auto"/>
                <w:w w:val="99"/>
              </w:rPr>
              <w:t>148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and cash equivalents include deposits in banks and short-term (original maturities of three months or less at the time of purchase), highly liquid investments that are readily convertible to known amounts of cash with a maturity of three months or less at the time of purchase.</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Restricted cash, including amounts in Other non-current assets, represents amounts pledged as guarantees for sales and lease agreements as contractually required.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8"/>
        </w:trPr>
        <w:tc>
          <w:tcPr>
            <w:tcW w:w="8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17,716</w:t>
            </w:r>
          </w:p>
        </w:tc>
        <w:tc>
          <w:tcPr>
            <w:tcW w:w="8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22,493</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non-current assets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887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w:t>
            </w: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18,908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23,682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Information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8"/>
        </w:trPr>
        <w:tc>
          <w:tcPr>
            <w:tcW w:w="8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during the period for: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net of refunds</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20"/>
                <w:szCs w:val="20"/>
                <w:color w:val="auto"/>
              </w:rPr>
            </w:pPr>
          </w:p>
        </w:tc>
        <w:tc>
          <w:tcPr>
            <w:tcW w:w="4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1,670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308"/>
        </w:trPr>
        <w:tc>
          <w:tcPr>
            <w:tcW w:w="8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24"/>
                <w:szCs w:val="24"/>
                <w:color w:val="auto"/>
              </w:rPr>
            </w:pPr>
          </w:p>
        </w:tc>
      </w:tr>
      <w:tr>
        <w:trPr>
          <w:trHeight w:val="38"/>
        </w:trPr>
        <w:tc>
          <w:tcPr>
            <w:tcW w:w="8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property and equipment included in accounts payable</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9"/>
                <w:szCs w:val="19"/>
                <w:color w:val="auto"/>
              </w:rPr>
            </w:pPr>
          </w:p>
        </w:tc>
        <w:tc>
          <w:tcPr>
            <w:tcW w:w="4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w:t>
            </w: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(R&amp;D) costs are expensed in the period in which they are incurred. R&amp;D costs include materials and equipment that have no alternative future use, depreciation on equipment and facilities currently used for R&amp;D purposes, personnel costs, contract services and reasonable allocations of indirect costs, if clearly related to an R&amp;D activity. Expenditures in the pre-production phase of an R&amp;D project are recorded as R&amp;D expense. Research and development expenses for the three months ended March 31, 2025, and 2024 were $1.4 million and $2.2 million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respectively and are included within Engineering costs on the statement of operations and comprehensive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Collected from Customers</w:t>
      </w:r>
    </w:p>
    <w:p>
      <w:pPr>
        <w:spacing w:after="0" w:line="221"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which are collected by the Company from customers, are excluded from revenue.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Standards Updates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 applied prospectively for annual financial statements not yet issued or made available for issuance. The Company is currently evaluating the impact on its Consolidated Financial Statements and related disclosures.</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Income Statement – Reporting Comprehensive Income – Expense Disaggregation Disclosures – Disaggregation of Income Statement Expenses – Income Statement – Reporting Comprehensive Income – Expense Disaggregation Disclosures – Disaggregation of Income Statement Expenses, which has as its objective to </w:t>
      </w:r>
      <w:r>
        <w:rPr>
          <w:rFonts w:ascii="Times New Roman" w:cs="Times New Roman" w:eastAsia="Times New Roman" w:hAnsi="Times New Roman"/>
          <w:sz w:val="18"/>
          <w:szCs w:val="18"/>
          <w:color w:val="212529"/>
        </w:rPr>
        <w:t>“address requests from investors for more detailed information about the types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expenses in commonly presented expense captions (such as cost of sales, selling, general, and administrative expenses, and research and development).” Investors advised the FASB that “disclosure of disaggregated information about expenses is critically important in understanding an entity’s performance, assessing an entity’s prospects for future cash flows, and comparing an entity’s performance over time and with that of other entities.”</w:t>
      </w:r>
    </w:p>
    <w:p>
      <w:pPr>
        <w:spacing w:after="0" w:line="20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ASU 2024-03 adds ASC 220-40 to require a footnote disclosure about specific expenses by requiring public entities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gas-producing activities or other types of depletion expenses. The tabular disclosure would also include certain other expenses, when applicable The guidance is effective for annual periods, effective for fiscal years beginning after December 15, 2026. The Company is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4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currently evaluating the guidance to determine the effect that this ASU will have on the Company’s disclosures. The ASU does not change or remove existing expense disclosure requirements; however, it may affect where that information appears in the notes to the financial statements.</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212529"/>
        </w:rPr>
        <w:t xml:space="preserve">In November 2024, the FASB issued ASU 2024-04, </w:t>
      </w:r>
      <w:r>
        <w:rPr>
          <w:rFonts w:ascii="Times New Roman" w:cs="Times New Roman" w:eastAsia="Times New Roman" w:hAnsi="Times New Roman"/>
          <w:sz w:val="18"/>
          <w:szCs w:val="18"/>
          <w:color w:val="000000"/>
        </w:rPr>
        <w:t>Debt – Debt with Conversion and Other Options (Subtopic 470-20), which provides</w:t>
      </w:r>
      <w:r>
        <w:rPr>
          <w:rFonts w:ascii="Times New Roman" w:cs="Times New Roman" w:eastAsia="Times New Roman" w:hAnsi="Times New Roman"/>
          <w:sz w:val="18"/>
          <w:szCs w:val="18"/>
          <w:color w:val="212529"/>
        </w:rPr>
        <w:t xml:space="preserve"> additional guidance on whether induced conversion or extinguishment accounting should be applied to certain settlements of convertible debt instruments that do not occur in accordance with the instruments’ preexisting terms. The ASU requires entities to apply a preexisting contract approach. To qualify for induced conversion accounting under this approach, the inducement offer is required to preserve the form of consideration and result in an amount of consideration that is no less than that issuable pursuant to the preexisting conversion privileges. ASU 2024-04 clarifies how entities should assess the form and amount of consideration when applying this approach. In addition, the new ASU clarifies that induced conversion accounting can be applied to settlements of certain convertible debt instruments that are not currently convertible as long as the instrument contained a substantive conversion feature as of both its issuance date and the inducement offer acceptance date. The Company has secured convertible debt as of December 31, 2024; however, to date, the Company has not offered the creditor an inducement to convert the debt. The guidance is effective for annual reporting periods beginning after December 15, 2025, and interim periods within those annual periods. Early adoption is permitted. The Company is currently evaluating the guidance to determine timing of implementation in case of future applicability.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Information</w:t>
      </w:r>
    </w:p>
    <w:p>
      <w:pPr>
        <w:spacing w:after="0" w:line="2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organized as one operating segment, which is its reportable segment. Generally, its segment metrics are equal to the Company’s consolidated totals. The Company’s segment information is evaluated regularly by the Chief Executive Officer, who is the chief operating decision maker (“CODM”) for purposes of decisions on how to allocate resources and to assess performance. The Company determined its reportable segment using the management approach based on how the CODM evaluates the business. The CODM uses the Company’s net (loss) income to assess the performance of the Company’s operating segment and evaluates the Company’s results against forecasted results.</w:t>
      </w:r>
    </w:p>
    <w:p>
      <w:pPr>
        <w:spacing w:after="0" w:line="22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operating segment derives its revenues from the sale of images via asset monitoring and Constellation as a Service (“CaaS”) and the sale or licensing of satellites via the Company’s Space Systems product line. The Company evaluates its operations based on net (loss) income. Required segment disclosures that are equal to the Company’s consolidated totals and disclosed elsewhere in the Condensed Consolidated Financial Statements include: net (loss), total assets, total revenue, interest income, net, depreciation expense, equity in net income (loss) of affiliate, income tax expense, and equity in net income of affiliates accounted for by the equity method. In addition to depreciation expense other non-cash expenses include stock-based compensation disclosed on the statement of cash flows and a non-cash sales agreement described in Note 5 (Revenue from Contracts with Customers). Purchases of long lived assets include purchases of property and equipment disclosed in the condensed consolidated statement of cash flows and the acquisition of new operating lease right of use assets for the three months ended March 31, 2025 and 2024 of $6.5 million and $0, respectively. Total non-current assets also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an investment in equity method investee at March 31, 2025 and December 31, 2024 of $3.7 million and $3.7 million, respectively. Other segment</w:t>
      </w:r>
    </w:p>
    <w:p>
      <w:pPr>
        <w:spacing w:after="0" w:line="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items are primarily made up of the following items not considered to be significant expenses: depreciation expense, change in fair value of financial instruments, income tax expense, partially offset by foreign currency income adjustments and interest income, net.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Company’s segment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80" w:type="dxa"/>
            <w:vAlign w:val="bottom"/>
          </w:tcPr>
          <w:p>
            <w:pPr>
              <w:spacing w:after="0"/>
              <w:rPr>
                <w:sz w:val="16"/>
                <w:szCs w:val="16"/>
                <w:color w:val="auto"/>
              </w:rPr>
            </w:pPr>
          </w:p>
        </w:tc>
      </w:tr>
      <w:tr>
        <w:trPr>
          <w:trHeight w:val="25"/>
        </w:trPr>
        <w:tc>
          <w:tcPr>
            <w:tcW w:w="63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5"/>
        </w:trPr>
        <w:tc>
          <w:tcPr>
            <w:tcW w:w="63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40" w:type="dxa"/>
            <w:vAlign w:val="bottom"/>
            <w:shd w:val="clear" w:color="auto" w:fill="CCEEFF"/>
          </w:tcPr>
          <w:p>
            <w:pPr>
              <w:jc w:val="right"/>
              <w:ind w:right="12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w:t>
            </w:r>
          </w:p>
        </w:tc>
      </w:tr>
      <w:tr>
        <w:trPr>
          <w:trHeight w:val="211"/>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excluding depreciation</w:t>
            </w:r>
          </w:p>
        </w:tc>
        <w:tc>
          <w:tcPr>
            <w:tcW w:w="1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r>
      <w:tr>
        <w:trPr>
          <w:trHeight w:val="21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(9,389)</w:t>
            </w:r>
          </w:p>
        </w:tc>
      </w:tr>
      <w:tr>
        <w:trPr>
          <w:trHeight w:val="211"/>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Engineering</w:t>
            </w:r>
          </w:p>
        </w:tc>
        <w:tc>
          <w:tcPr>
            <w:tcW w:w="1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w:t>
            </w:r>
          </w:p>
        </w:tc>
      </w:tr>
      <w:tr>
        <w:trPr>
          <w:trHeight w:val="21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1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(25,753)</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w:t>
            </w: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40" w:type="dxa"/>
            <w:vAlign w:val="bottom"/>
            <w:tcBorders>
              <w:bottom w:val="single" w:sz="8" w:color="auto"/>
            </w:tcBorders>
          </w:tcPr>
          <w:p>
            <w:pPr>
              <w:jc w:val="right"/>
              <w:ind w:right="12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(15,178)</w:t>
            </w:r>
          </w:p>
        </w:tc>
      </w:tr>
      <w:tr>
        <w:trPr>
          <w:trHeight w:val="20"/>
        </w:trPr>
        <w:tc>
          <w:tcPr>
            <w:tcW w:w="63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area is as follows</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340" w:type="dxa"/>
            <w:vAlign w:val="bottom"/>
            <w:gridSpan w:val="3"/>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70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390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r>
      <w:tr>
        <w:trPr>
          <w:trHeight w:val="208"/>
        </w:trPr>
        <w:tc>
          <w:tcPr>
            <w:tcW w:w="66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0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1560" w:type="dxa"/>
            <w:vAlign w:val="bottom"/>
            <w:shd w:val="clear" w:color="auto" w:fill="CCEEFF"/>
          </w:tcPr>
          <w:p>
            <w:pPr>
              <w:jc w:val="right"/>
              <w:ind w:right="13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3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21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Albania</w:t>
            </w:r>
          </w:p>
        </w:tc>
        <w:tc>
          <w:tcPr>
            <w:tcW w:w="1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1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1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3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60" w:type="dxa"/>
            <w:vAlign w:val="bottom"/>
            <w:tcBorders>
              <w:bottom w:val="single" w:sz="8" w:color="auto"/>
            </w:tcBorders>
            <w:shd w:val="clear" w:color="auto" w:fill="CCEEFF"/>
          </w:tcPr>
          <w:p>
            <w:pPr>
              <w:jc w:val="right"/>
              <w:ind w:right="13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160" w:hanging="154"/>
        <w:spacing w:after="0"/>
        <w:tabs>
          <w:tab w:leader="none" w:pos="16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Revenues are attributed to individual countries based on the location of the customer generating the revenue.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from Contracts with Customers</w:t>
      </w: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During the three months ended March 31, 2025, we recognized revenue of $3.4 million, of which $1.6 million was recognized over time and $1.8 million was recognized at a point in time. During the three months ended March 31, 2024, we recognized revenue of $3.3 million, of which $1.1 million was recognized over time and $2.2 million was recognized at a point in time.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November 2021, the Company entered a 5-year noncancellable agreement with a technology company by which the customer receives $4.0 million in credits to purchase imagery each year. The Company recognizes revenue as images are delivered to the customer. The customer pays the Company in non-cash consideration in the form of a license to a proprietary software platform, which the Company uses in its internal operations. We recognized $1.1 million of revenue from this customer during the three months ended March 31, 2025. We recognized $1.5 million of revenue from this customer during the three months ended March 31, 2024.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 by business line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26"/>
        </w:trPr>
        <w:tc>
          <w:tcPr>
            <w:tcW w:w="8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business line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Monitoring</w:t>
            </w: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8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Constellation as a Service ("CaaS")</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3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Space Systems</w:t>
            </w: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6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3,387</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 by timing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26"/>
        </w:trPr>
        <w:tc>
          <w:tcPr>
            <w:tcW w:w="8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9"/>
                <w:szCs w:val="19"/>
                <w:color w:val="auto"/>
              </w:rPr>
            </w:pP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timing</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Over time</w:t>
            </w: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8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Point-in time</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3,387</w:t>
            </w:r>
          </w:p>
        </w:tc>
        <w:tc>
          <w:tcPr>
            <w:tcW w:w="80" w:type="dxa"/>
            <w:vAlign w:val="bottom"/>
          </w:tcPr>
          <w:p>
            <w:pPr>
              <w:spacing w:after="0"/>
              <w:rPr>
                <w:sz w:val="20"/>
                <w:szCs w:val="20"/>
                <w:color w:val="auto"/>
              </w:rPr>
            </w:pPr>
          </w:p>
        </w:tc>
        <w:tc>
          <w:tcPr>
            <w:tcW w:w="10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3,328</w:t>
            </w:r>
          </w:p>
        </w:tc>
      </w:tr>
      <w:tr>
        <w:trPr>
          <w:trHeight w:val="20"/>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 by geography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r>
      <w:tr>
        <w:trPr>
          <w:trHeight w:val="38"/>
        </w:trPr>
        <w:tc>
          <w:tcPr>
            <w:tcW w:w="82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b w:val="1"/>
                <w:bCs w:val="1"/>
                <w:color w:val="auto"/>
              </w:rPr>
              <w:t xml:space="preserve">Revenue by geography </w:t>
            </w:r>
            <w:r>
              <w:rPr>
                <w:rFonts w:ascii="Times New Roman" w:cs="Times New Roman" w:eastAsia="Times New Roman" w:hAnsi="Times New Roman"/>
                <w:sz w:val="20"/>
                <w:szCs w:val="20"/>
                <w:b w:val="1"/>
                <w:bCs w:val="1"/>
                <w:color w:val="auto"/>
                <w:vertAlign w:val="superscript"/>
              </w:rPr>
              <w:t>(1)</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80" w:type="dxa"/>
            <w:vAlign w:val="bottom"/>
          </w:tcPr>
          <w:p>
            <w:pPr>
              <w:spacing w:after="0"/>
              <w:rPr>
                <w:sz w:val="20"/>
                <w:szCs w:val="20"/>
                <w:color w:val="auto"/>
              </w:rPr>
            </w:pPr>
          </w:p>
        </w:tc>
        <w:tc>
          <w:tcPr>
            <w:tcW w:w="1000" w:type="dxa"/>
            <w:vAlign w:val="bottom"/>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America</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6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3,387</w:t>
            </w:r>
          </w:p>
        </w:tc>
        <w:tc>
          <w:tcPr>
            <w:tcW w:w="80" w:type="dxa"/>
            <w:vAlign w:val="bottom"/>
          </w:tcPr>
          <w:p>
            <w:pPr>
              <w:spacing w:after="0"/>
              <w:rPr>
                <w:sz w:val="20"/>
                <w:szCs w:val="20"/>
                <w:color w:val="auto"/>
              </w:rPr>
            </w:pPr>
          </w:p>
        </w:tc>
        <w:tc>
          <w:tcPr>
            <w:tcW w:w="10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3,328</w:t>
            </w:r>
          </w:p>
        </w:tc>
      </w:tr>
      <w:tr>
        <w:trPr>
          <w:trHeight w:val="20"/>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160" w:hanging="154"/>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 by geography is based on the geographical location of the customer.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 and Remaining Performance Obligations</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contract liabilities consist of payments received from customers, or such consideration contractually due, in advance of providing the relevant satellite imagery or related service. Amounts included in Contract liabilities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
        </w:trPr>
        <w:tc>
          <w:tcPr>
            <w:tcW w:w="8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6,308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w:t>
            </w:r>
          </w:p>
        </w:tc>
      </w:tr>
      <w:tr>
        <w:trPr>
          <w:trHeight w:val="21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w:t>
            </w:r>
          </w:p>
        </w:tc>
        <w:tc>
          <w:tcPr>
            <w:tcW w:w="10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6,308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5,871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three months ended March 31, 2025, we recognized revenue of $1.4 million that was included as a contract liability as of December 31, 2024. During the three months ended March 31, 2024, we recognized revenue of $2.0 million that was included as a contract liability as of December 31, 2023. The increase in contract liabilities in the three months ended March 31, 2025 was primarily due to collections from a new customer for performance obligations that will be satisfied during 2025. Total unused credits related to the non-cash agreement described above included in contract liabilities at March 31, 2025,</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and December 31, 2024 were $1.4 million and $1.4 million</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respectively. Unused credits expire one year after issuance. There were no credits that expired in the three months ended March 31, 2025 or 2024.</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contract’s transaction price is allocated to each distinct performance obligation and recognized as revenue when, or as, the performance obligation is satisfied. The following table represents the total transaction price for the remaining performance obligations as of March 31, 2025 related to non-cancellable contracts longer than 12 months in duration that is expected to be recognized over future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Within 1 Year</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 1-2</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 2-3</w:t>
            </w:r>
          </w:p>
        </w:tc>
        <w:tc>
          <w:tcPr>
            <w:tcW w:w="260" w:type="dxa"/>
            <w:vAlign w:val="bottom"/>
          </w:tcPr>
          <w:p>
            <w:pPr>
              <w:spacing w:after="0"/>
              <w:rPr>
                <w:sz w:val="16"/>
                <w:szCs w:val="16"/>
                <w:color w:val="auto"/>
              </w:rPr>
            </w:pPr>
          </w:p>
        </w:tc>
        <w:tc>
          <w:tcPr>
            <w:tcW w:w="122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8"/>
        </w:trPr>
        <w:tc>
          <w:tcPr>
            <w:tcW w:w="5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performance obligations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7,000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w:t>
            </w: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Warrant Liabilities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Liberty Warrants and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Total Warrant</w:t>
            </w:r>
          </w:p>
        </w:tc>
        <w:tc>
          <w:tcPr>
            <w:tcW w:w="0" w:type="dxa"/>
            <w:vAlign w:val="bottom"/>
          </w:tcPr>
          <w:p>
            <w:pPr>
              <w:spacing w:after="0"/>
              <w:rPr>
                <w:sz w:val="1"/>
                <w:szCs w:val="1"/>
                <w:color w:val="auto"/>
              </w:rPr>
            </w:pPr>
          </w:p>
        </w:tc>
      </w:tr>
      <w:tr>
        <w:trPr>
          <w:trHeight w:val="144"/>
        </w:trPr>
        <w:tc>
          <w:tcPr>
            <w:tcW w:w="5060" w:type="dxa"/>
            <w:vAlign w:val="bottom"/>
          </w:tcPr>
          <w:p>
            <w:pPr>
              <w:spacing w:after="0"/>
              <w:rPr>
                <w:sz w:val="12"/>
                <w:szCs w:val="12"/>
                <w:color w:val="auto"/>
              </w:rPr>
            </w:pPr>
          </w:p>
        </w:tc>
        <w:tc>
          <w:tcPr>
            <w:tcW w:w="15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Liberty Advisory Fee</w:t>
            </w:r>
          </w:p>
        </w:tc>
        <w:tc>
          <w:tcPr>
            <w:tcW w:w="200" w:type="dxa"/>
            <w:vAlign w:val="bottom"/>
          </w:tcPr>
          <w:p>
            <w:pPr>
              <w:spacing w:after="0"/>
              <w:rPr>
                <w:sz w:val="12"/>
                <w:szCs w:val="12"/>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PIPE Warrant</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$8.63 Warrants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37"/>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0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 Warrants and Liberty Advisory Fee Warrant</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18, 2022, the Company and CF V entered into the Liberty Subscription Agreement with an investor (the “Liberty Investor”). The Company agreed to issue and sell to the Liberty Investor (i) 20,000,000 shares of Class A common stock (the “Liberty Shares”), (ii) a warrant to purchase up to 5,000,000 shares of Class A common stock at an exercise price of $10.00 per share (the “$10.00 Liberty Warrant”), and (iii) a warrant to purchase up to 15,000,000 shares of Class A common stock at an exercise price of $15.00 per share (the “$15.00 Liberty Warrant”, and together with the $10.00 Liberty Warrant, the “Liberty Warrants”), in a private placement for an aggregate purchase price of $150.0 million. The transaction closed on February 10, 2022 (the “Liberty Closing” and the transaction collectively, the “Liberty Investment”).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advisory fee is payable by the Company in exchange for advisory services to be provided to the Company from time to time until a Cessation Event (as defined in that certain Subscription Agreement, dated as of January 18, 2022, by and among the Company, the Liberty Investor and CF V, pursuant to which the Liberty Investment was made, the “Liberty Subscription Agreement”). The advisory fee includes a warrant to purchase 2,500,000 of Satellogic’s Class A ordinary shares at an exercise price of $10.00 per share (the “Liberty Advisory Fee Warrant”).</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the Liberty Warrants and the Liberty Advisory Fee Warrant were initially recognized as a liability with a fair value of $30.9 million. The Liberty Warrants and the Liberty Advisory Fee Warrant remain unexercised and were remeasured to a fair value of $10.6 million as of March 31, 2025. The Liberty Warrants and Liberty Advisory Fee Warrant will expire on February 10, 2027 or earlier upon redemption or liquidation.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Warrant</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relevant subscription agreement, the Company issued 5,816,770 shares of Class A common stock and a non-redeemable warrant (the “PIPE Warrant”) to purchase 2,500,000 shares of Class A common stock to a PIPE investor at an exercise price of $20.00 per share, for an aggregate purchase price of $58.2 million.</w:t>
      </w:r>
    </w:p>
    <w:p>
      <w:pPr>
        <w:spacing w:after="0" w:line="20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In 2022, the PIPE Warrant was initially recognized as a liability with a fair value of $1.3 million. The PIPE Warrant remains unexercised and was remeasured to fair value of $0.6 million as of March 31, 2025. The PIPE Warrant will expire on January 25, 2027, or earlier upon redemption or liquidation.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$8.63 Warrants</w:t>
      </w:r>
    </w:p>
    <w:p>
      <w:pPr>
        <w:spacing w:after="0" w:line="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connection with the Merger, we entered into that certain Assignment, Assumption and Amendment Agreement, dated January 25, 2022, by and among the Company, CF V and Continental Stock (the “PIPE Warrant Agreement”), which amended that certain Warrant Agreement, dated January 28, 2021, by and between the Company and Continental Stock Transfer &amp; Trust Company (the “Public Warrant Agreement”).</w:t>
      </w:r>
    </w:p>
    <w:p>
      <w:pPr>
        <w:spacing w:after="0" w:line="2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Pursuant to the Public Warrant Agreement, we issued warrants to purchase 8,333,333 shares of Class A common stock (the “Public Warrants”) and 200,000 private placement warrants. Additionally, pursuant to that certain Amended and Restated Forward Purchase Contract, dated as of January 28, 2021, by and between CF V and CFAC Holdings V, LLC (the “Sponsor”), we agreed to issue warrants to purchase an additional 333,333 shares of Class A common stock at an exercise price of $11.50 per share (the “Forward Purchase Warrant”) (together, with the Public Warrants and the private placement Warrants, the “$8.63 Warrants”).</w:t>
      </w:r>
    </w:p>
    <w:p>
      <w:pPr>
        <w:spacing w:after="0" w:line="19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All of the $8.63 Warrants are governed by the Public Warrant Agreement. The $8.63 Warrants became exercisable 30 days after the Closing Date, or February 25, 2022, and will expire on January 25, 2027, or earlier upon redemption or liquidation.</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$8.63 Warrants were initially recognized as a liability with a fair value of $4.9 million. On April 1, 2022, we determined pursuant to the Public Warrant Agreement, as modified and assumed by the PIPE Warrant Agreement, that the warrant price with respect to the warrants issued and outstanding was adjusted from $11.50 to $8.63 and the redemption price was adjusted from $18.00 to $13.50. The $8.63 Warrants had a fair value of $3.7 million as of March 31, 2025.</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Earnout Liabilities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Sponsor Earnout</w:t>
            </w:r>
          </w:p>
        </w:tc>
        <w:tc>
          <w:tcPr>
            <w:tcW w:w="0" w:type="dxa"/>
            <w:vAlign w:val="bottom"/>
          </w:tcPr>
          <w:p>
            <w:pPr>
              <w:spacing w:after="0"/>
              <w:rPr>
                <w:sz w:val="1"/>
                <w:szCs w:val="1"/>
                <w:color w:val="auto"/>
              </w:rPr>
            </w:pPr>
          </w:p>
        </w:tc>
      </w:tr>
      <w:tr>
        <w:trPr>
          <w:trHeight w:val="25"/>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9760" w:type="dxa"/>
            <w:vAlign w:val="bottom"/>
            <w:tcBorders>
              <w:bottom w:val="single" w:sz="8" w:color="CCEEFF"/>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7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3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Earnout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Pursuant to that certain Sponsor Support Agreement, dated as of July 5, 2021, by and among us, the Sponsor and Nettar (the “Sponsor Support Agreement”), the Sponsor has agreed that during the period between the Closing and the five-year anniversary of the Closing, the Sponsor shall not sell, transfer or otherwise dispose of Class A common stock equal to 1,869,000 less 30% of the Forfeiture Escrow Shares (as defined in the Sponsor Support Agreement) retired and canceled (“Sponsor Earnout”). The Sponsor Earnout is subject to potential forfeiture to us for no consideration until the occurrence of each tranche’s respective earnout triggering event. The earnout triggering events related to achieving a closing price at or above $12.50, $15.00 and $20.00 per share, respectively, for any 10 trading days over a 20 trading day period were not satisfied during the three months ended March 31, 2025. As a result, the Sponsor Earnout of 1,775,962 shares of Class A common stock were not vested and are subject to transfer restrictions and contingent forfeiture provisions.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60" w:type="dxa"/>
            <w:vAlign w:val="bottom"/>
          </w:tcPr>
          <w:p>
            <w:pPr>
              <w:spacing w:after="0"/>
              <w:rPr>
                <w:sz w:val="16"/>
                <w:szCs w:val="16"/>
                <w:color w:val="auto"/>
              </w:rPr>
            </w:pPr>
          </w:p>
        </w:tc>
        <w:tc>
          <w:tcPr>
            <w:tcW w:w="12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0"/>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Satellites and other equipment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30,856</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30,668</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Satellites under construction</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Not applicable</w:t>
            </w:r>
          </w:p>
        </w:tc>
        <w:tc>
          <w:tcPr>
            <w:tcW w:w="26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14,595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14,458</w:t>
            </w:r>
          </w:p>
        </w:tc>
        <w:tc>
          <w:tcPr>
            <w:tcW w:w="0" w:type="dxa"/>
            <w:vAlign w:val="bottom"/>
          </w:tcPr>
          <w:p>
            <w:pPr>
              <w:spacing w:after="0"/>
              <w:rPr>
                <w:sz w:val="1"/>
                <w:szCs w:val="1"/>
                <w:color w:val="auto"/>
              </w:rPr>
            </w:pPr>
          </w:p>
        </w:tc>
      </w:tr>
      <w:tr>
        <w:trPr>
          <w:trHeight w:val="24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2,928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0" w:type="dxa"/>
            <w:vAlign w:val="bottom"/>
          </w:tcPr>
          <w:p>
            <w:pPr>
              <w:spacing w:after="0"/>
              <w:rPr>
                <w:sz w:val="1"/>
                <w:szCs w:val="1"/>
                <w:color w:val="auto"/>
              </w:rPr>
            </w:pPr>
          </w:p>
        </w:tc>
      </w:tr>
      <w:tr>
        <w:trPr>
          <w:trHeight w:val="23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property and equipment</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4,317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0" w:type="dxa"/>
            <w:vAlign w:val="bottom"/>
          </w:tcPr>
          <w:p>
            <w:pPr>
              <w:spacing w:after="0"/>
              <w:rPr>
                <w:sz w:val="1"/>
                <w:szCs w:val="1"/>
                <w:color w:val="auto"/>
              </w:rPr>
            </w:pPr>
          </w:p>
        </w:tc>
      </w:tr>
      <w:tr>
        <w:trPr>
          <w:trHeight w:val="240"/>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52,696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52,334</w:t>
            </w:r>
          </w:p>
        </w:tc>
        <w:tc>
          <w:tcPr>
            <w:tcW w:w="0" w:type="dxa"/>
            <w:vAlign w:val="bottom"/>
          </w:tcPr>
          <w:p>
            <w:pPr>
              <w:spacing w:after="0"/>
              <w:rPr>
                <w:sz w:val="1"/>
                <w:szCs w:val="1"/>
                <w:color w:val="auto"/>
              </w:rPr>
            </w:pPr>
          </w:p>
        </w:tc>
      </w:tr>
      <w:tr>
        <w:trPr>
          <w:trHeight w:val="23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(25,106)</w:t>
            </w:r>
          </w:p>
        </w:tc>
        <w:tc>
          <w:tcPr>
            <w:tcW w:w="0" w:type="dxa"/>
            <w:vAlign w:val="bottom"/>
          </w:tcPr>
          <w:p>
            <w:pPr>
              <w:spacing w:after="0"/>
              <w:rPr>
                <w:sz w:val="1"/>
                <w:szCs w:val="1"/>
                <w:color w:val="auto"/>
              </w:rPr>
            </w:pPr>
          </w:p>
        </w:tc>
      </w:tr>
      <w:tr>
        <w:trPr>
          <w:trHeight w:val="26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25,802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27,228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depreciation are based on estimated useful lives of the assets using the straight-line method.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our property and equipment and operating lease ROU assets by geography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31,682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26,833</w:t>
            </w:r>
          </w:p>
        </w:tc>
      </w:tr>
      <w:tr>
        <w:trPr>
          <w:trHeight w:val="21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c>
          <w:tcPr>
            <w:tcW w:w="26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1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Spain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11"/>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countries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34"/>
        </w:trPr>
        <w:tc>
          <w:tcPr>
            <w:tcW w:w="8200" w:type="dxa"/>
            <w:vAlign w:val="bottom"/>
            <w:tcBorders>
              <w:bottom w:val="single" w:sz="8" w:color="CCEEFF"/>
            </w:tcBorders>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b w:val="1"/>
                <w:bCs w:val="1"/>
                <w:color w:val="auto"/>
              </w:rPr>
              <w:t xml:space="preserve">Total </w:t>
            </w:r>
            <w:r>
              <w:rPr>
                <w:rFonts w:ascii="Times New Roman" w:cs="Times New Roman" w:eastAsia="Times New Roman" w:hAnsi="Times New Roman"/>
                <w:sz w:val="20"/>
                <w:szCs w:val="20"/>
                <w:b w:val="1"/>
                <w:bCs w:val="1"/>
                <w:color w:val="auto"/>
                <w:vertAlign w:val="superscript"/>
              </w:rPr>
              <w:t>(1)</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32,340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28,105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160" w:hanging="154"/>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presentation in the table above is based on the geographic location of the entity that holds the assets.</w:t>
      </w:r>
    </w:p>
    <w:p>
      <w:pPr>
        <w:spacing w:after="0" w:line="200" w:lineRule="exact"/>
        <w:rPr>
          <w:rFonts w:ascii="Times New Roman" w:cs="Times New Roman" w:eastAsia="Times New Roman" w:hAnsi="Times New Roman"/>
          <w:sz w:val="19"/>
          <w:szCs w:val="19"/>
          <w:color w:val="auto"/>
          <w:vertAlign w:val="superscript"/>
        </w:rPr>
      </w:pPr>
    </w:p>
    <w:p>
      <w:pPr>
        <w:spacing w:after="0" w:line="372"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Additional Financial Statement Information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
        </w:trPr>
        <w:tc>
          <w:tcPr>
            <w:tcW w:w="8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040" w:type="dxa"/>
            <w:vAlign w:val="bottom"/>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2,090</w:t>
            </w:r>
          </w:p>
        </w:tc>
        <w:tc>
          <w:tcPr>
            <w:tcW w:w="8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w:t>
            </w:r>
          </w:p>
        </w:tc>
      </w:tr>
      <w:tr>
        <w:trPr>
          <w:trHeight w:val="249"/>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Officina Stellare S.p.A. (“OS”) Warrants</w:t>
            </w: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1,053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Advances to suppliers</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42"/>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0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1,015</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4,274</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3,907</w:t>
            </w:r>
          </w:p>
        </w:tc>
      </w:tr>
      <w:tr>
        <w:trPr>
          <w:trHeight w:val="20"/>
        </w:trPr>
        <w:tc>
          <w:tcPr>
            <w:tcW w:w="8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Liabilities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Accrued expenses and other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Payroll and benefits payable</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2,874</w:t>
            </w:r>
          </w:p>
        </w:tc>
        <w:tc>
          <w:tcPr>
            <w:tcW w:w="8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r>
      <w:tr>
        <w:trPr>
          <w:trHeight w:val="249"/>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Advisory Fee cash payable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taxes payable</w:t>
            </w:r>
          </w:p>
        </w:tc>
        <w:tc>
          <w:tcPr>
            <w:tcW w:w="26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r>
      <w:tr>
        <w:trPr>
          <w:trHeight w:val="242"/>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14,159</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12,137</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3"/>
        </w:trPr>
        <w:tc>
          <w:tcPr>
            <w:tcW w:w="8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13,661</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11,621</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498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620" w:type="dxa"/>
            <w:vAlign w:val="bottom"/>
            <w:gridSpan w:val="4"/>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r>
      <w:tr>
        <w:trPr>
          <w:trHeight w:val="38"/>
        </w:trPr>
        <w:tc>
          <w:tcPr>
            <w:tcW w:w="82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 net</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(1)</w:t>
            </w: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42"/>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Borders>
              <w:bottom w:val="single" w:sz="8" w:color="auto"/>
            </w:tcBorders>
          </w:tcPr>
          <w:p>
            <w:pPr>
              <w:jc w:val="right"/>
              <w:ind w:right="84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204</w:t>
            </w:r>
          </w:p>
        </w:tc>
      </w:tr>
      <w:tr>
        <w:trPr>
          <w:trHeight w:val="20"/>
        </w:trPr>
        <w:tc>
          <w:tcPr>
            <w:tcW w:w="8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interest on the Company’s Secured Convertible Notes, which is included in Change in Fair Value of Financial Instruments.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26, 2025, we are incorporated in the U.S. Our operations are conducted through various subsidiaries in a number of countries throughout the world with significant operations in Uruguay, where we operate in a free trade zone. Consequently, income tax has been provided based on the laws and tax rates in effect in the countries in which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are conducted or in which our subsidiaries are considered resident for corporate income tax purposes, including Argentina, China, Israel, the Netherlands, Spain, Uruguay, and the United States.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our effective tax rate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5"/>
        </w:trPr>
        <w:tc>
          <w:tcPr>
            <w:tcW w:w="7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4"/>
        </w:trPr>
        <w:tc>
          <w:tcPr>
            <w:tcW w:w="7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9"/>
                <w:szCs w:val="19"/>
                <w:color w:val="auto"/>
              </w:rPr>
            </w:pPr>
          </w:p>
        </w:tc>
        <w:tc>
          <w:tcPr>
            <w:tcW w:w="1260" w:type="dxa"/>
            <w:vAlign w:val="bottom"/>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loss before income tax</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(31,866)</w:t>
            </w:r>
          </w:p>
        </w:tc>
        <w:tc>
          <w:tcPr>
            <w:tcW w:w="4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(13,745)</w:t>
            </w:r>
          </w:p>
        </w:tc>
      </w:tr>
      <w:tr>
        <w:trPr>
          <w:trHeight w:val="23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715</w:t>
            </w:r>
          </w:p>
        </w:tc>
        <w:tc>
          <w:tcPr>
            <w:tcW w:w="4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1,433</w:t>
            </w:r>
          </w:p>
        </w:tc>
      </w:tr>
      <w:tr>
        <w:trPr>
          <w:trHeight w:val="24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provision rate</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(2.2 %)</w:t>
            </w: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r>
    </w:tbl>
    <w:p>
      <w:pPr>
        <w:spacing w:after="0" w:line="3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difference between the U.S. federal statutory income tax rate of 21% and the Company’s effective income tax rate for the three months ended March 31, 2025 and 2024 was primarily impacted by a variety of factors including the location in which income was earned, the recognition of a full deferred tax asset valuation allowance in various jurisdictions, and interest and penalties related to uncertain tax positions.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2025 is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r>
      <w:tr>
        <w:trPr>
          <w:trHeight w:val="160"/>
        </w:trPr>
        <w:tc>
          <w:tcPr>
            <w:tcW w:w="6520" w:type="dxa"/>
            <w:vAlign w:val="bottom"/>
          </w:tcPr>
          <w:p>
            <w:pPr>
              <w:spacing w:after="0"/>
              <w:rPr>
                <w:sz w:val="13"/>
                <w:szCs w:val="13"/>
                <w:color w:val="auto"/>
              </w:rPr>
            </w:pPr>
          </w:p>
        </w:tc>
        <w:tc>
          <w:tcPr>
            <w:tcW w:w="1480" w:type="dxa"/>
            <w:vAlign w:val="bottom"/>
          </w:tcPr>
          <w:p>
            <w:pPr>
              <w:jc w:val="right"/>
              <w:ind w:right="422"/>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3"/>
                <w:szCs w:val="13"/>
                <w:color w:val="auto"/>
              </w:rPr>
            </w:pPr>
          </w:p>
        </w:tc>
        <w:tc>
          <w:tcPr>
            <w:tcW w:w="15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6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Remaining Contractual</w:t>
            </w:r>
          </w:p>
        </w:tc>
      </w:tr>
      <w:tr>
        <w:trPr>
          <w:trHeight w:val="200"/>
        </w:trPr>
        <w:tc>
          <w:tcPr>
            <w:tcW w:w="6520" w:type="dxa"/>
            <w:vAlign w:val="bottom"/>
          </w:tcPr>
          <w:p>
            <w:pPr>
              <w:spacing w:after="0"/>
              <w:rPr>
                <w:sz w:val="17"/>
                <w:szCs w:val="17"/>
                <w:color w:val="auto"/>
              </w:rPr>
            </w:pPr>
          </w:p>
        </w:tc>
        <w:tc>
          <w:tcPr>
            <w:tcW w:w="14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r>
      <w:tr>
        <w:trPr>
          <w:trHeight w:val="38"/>
        </w:trPr>
        <w:tc>
          <w:tcPr>
            <w:tcW w:w="65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3,234,296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20"/>
                <w:szCs w:val="20"/>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5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(961,627)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6"/>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March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2,272,330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$1.73</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20"/>
                <w:szCs w:val="20"/>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5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2,237,928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for the three months ended March 31, 2025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00" w:type="dxa"/>
            <w:vAlign w:val="bottom"/>
          </w:tcPr>
          <w:p>
            <w:pPr>
              <w:spacing w:after="0"/>
              <w:rPr>
                <w:sz w:val="15"/>
                <w:szCs w:val="15"/>
                <w:color w:val="auto"/>
              </w:rPr>
            </w:pPr>
          </w:p>
        </w:tc>
        <w:tc>
          <w:tcPr>
            <w:tcW w:w="14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6"/>
        </w:trPr>
        <w:tc>
          <w:tcPr>
            <w:tcW w:w="8100" w:type="dxa"/>
            <w:vAlign w:val="bottom"/>
          </w:tcPr>
          <w:p>
            <w:pPr>
              <w:spacing w:after="0"/>
              <w:rPr>
                <w:sz w:val="16"/>
                <w:szCs w:val="16"/>
                <w:color w:val="auto"/>
              </w:rPr>
            </w:pPr>
          </w:p>
        </w:tc>
        <w:tc>
          <w:tcPr>
            <w:tcW w:w="14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of RSUs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Grant-Date Value</w:t>
            </w:r>
          </w:p>
        </w:tc>
      </w:tr>
      <w:tr>
        <w:trPr>
          <w:trHeight w:val="38"/>
        </w:trPr>
        <w:tc>
          <w:tcPr>
            <w:tcW w:w="8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3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unvested RSUs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2,893,396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20"/>
                <w:szCs w:val="20"/>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 during the year</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20"/>
                <w:szCs w:val="20"/>
                <w:color w:val="auto"/>
              </w:rPr>
            </w:pPr>
          </w:p>
        </w:tc>
      </w:tr>
      <w:tr>
        <w:trPr>
          <w:trHeight w:val="24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 during the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21"/>
                <w:szCs w:val="21"/>
                <w:color w:val="auto"/>
              </w:rPr>
            </w:pPr>
          </w:p>
        </w:tc>
      </w:tr>
      <w:tr>
        <w:trPr>
          <w:trHeight w:val="23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during the year</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(213,722)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CEEFF"/>
            </w:tcBorders>
          </w:tcPr>
          <w:p>
            <w:pPr>
              <w:spacing w:after="0"/>
              <w:rPr>
                <w:sz w:val="20"/>
                <w:szCs w:val="20"/>
                <w:color w:val="auto"/>
              </w:rPr>
            </w:pPr>
          </w:p>
        </w:tc>
      </w:tr>
      <w:tr>
        <w:trPr>
          <w:trHeight w:val="26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unvested RSUs at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2,554,282</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Diluted loss per share considers the impact of potentially dilutive securities. We identified financial instruments that qualify as potential common shares: (i) the share-based options awards described in Note 11 (Stock-based Compensation), (ii) the warrants described in Note 6 (Warrant Liabilities), and (iii) the earnout liabilities described in Note 7 (Earnout Liabilities). Each of these potential common shares are antidilutive since their conversion to common shares would decrease loss per share from continuing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calculated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8"/>
        </w:trPr>
        <w:tc>
          <w:tcPr>
            <w:tcW w:w="8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holders of Common Stock</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(15,178)</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weighted-average shares of Common Stock outstanding</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96,655,349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90,331,496</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net loss per share for the period attributable to holders of Common Stock</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21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numerator</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(15,178)</w:t>
            </w:r>
          </w:p>
        </w:tc>
      </w:tr>
      <w:tr>
        <w:trPr>
          <w:trHeight w:val="23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weighted-average Common Stock outstanding</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96,655,349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90,331,496</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loss per share for the period attributable to holders of Common Stock</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following securities were not included in the computation of diluted shares outstanding because the effect would have been anti-dilutive: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040" w:type="dxa"/>
            <w:vAlign w:val="bottom"/>
            <w:gridSpan w:val="3"/>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8"/>
        </w:trPr>
        <w:tc>
          <w:tcPr>
            <w:tcW w:w="82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8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49,184,815</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49,184,915</w:t>
            </w: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Sponsor earnout shares</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1,775,962</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1,775,962</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2,272,330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4,887,876</w:t>
            </w: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2,554,282</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2,878,557</w:t>
            </w:r>
          </w:p>
        </w:tc>
      </w:tr>
      <w:tr>
        <w:trPr>
          <w:trHeight w:val="24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convertible from Secured Convertible Notes</w:t>
            </w: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25,000,000</w:t>
            </w:r>
          </w:p>
        </w:tc>
        <w:tc>
          <w:tcPr>
            <w:tcW w:w="8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80,787,389</w:t>
            </w:r>
          </w:p>
        </w:tc>
        <w:tc>
          <w:tcPr>
            <w:tcW w:w="8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58,727,310</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 and Financial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the fair value measurement hierarchy of our assets and liabilities:</w:t>
      </w:r>
    </w:p>
    <w:p>
      <w:pPr>
        <w:sectPr>
          <w:pgSz w:w="11900" w:h="16838" w:orient="portrait"/>
          <w:cols w:equalWidth="0" w:num="1">
            <w:col w:w="11240"/>
          </w:cols>
          <w:pgMar w:left="320" w:top="119" w:right="339" w:bottom="1440" w:gutter="0" w:footer="0" w:header="0"/>
        </w:sect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4142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Financial instruments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6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r>
      <w:tr>
        <w:trPr>
          <w:trHeight w:val="173"/>
        </w:trPr>
        <w:tc>
          <w:tcPr>
            <w:tcW w:w="15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6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3"/>
        </w:trPr>
        <w:tc>
          <w:tcPr>
            <w:tcW w:w="15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6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86"/>
        </w:trPr>
        <w:tc>
          <w:tcPr>
            <w:tcW w:w="15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5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inputs (Level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15875</wp:posOffset>
            </wp:positionV>
            <wp:extent cx="7134225" cy="160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900" w:space="720"/>
            <w:col w:w="4620"/>
          </w:cols>
          <w:pgMar w:left="320" w:top="119"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 Warrants</w:t>
            </w:r>
          </w:p>
        </w:tc>
        <w:tc>
          <w:tcPr>
            <w:tcW w:w="25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$8.63 </w:t>
            </w:r>
            <w:r>
              <w:rPr>
                <w:rFonts w:ascii="Times New Roman" w:cs="Times New Roman" w:eastAsia="Times New Roman" w:hAnsi="Times New Roman"/>
                <w:sz w:val="15"/>
                <w:szCs w:val="15"/>
                <w:color w:val="auto"/>
              </w:rPr>
              <w:t>Warrants liability</w:t>
            </w:r>
          </w:p>
        </w:tc>
        <w:tc>
          <w:tcPr>
            <w:tcW w:w="25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100" w:type="dxa"/>
            <w:vAlign w:val="bottom"/>
          </w:tcPr>
          <w:p>
            <w:pPr>
              <w:spacing w:after="0"/>
              <w:rPr>
                <w:sz w:val="22"/>
                <w:szCs w:val="22"/>
                <w:color w:val="auto"/>
              </w:rPr>
            </w:pPr>
          </w:p>
        </w:tc>
        <w:tc>
          <w:tcPr>
            <w:tcW w:w="66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PIPE Warrant liability</w:t>
            </w:r>
          </w:p>
        </w:tc>
        <w:tc>
          <w:tcPr>
            <w:tcW w:w="1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3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Liberty Warrants and Liberty Advisory Fee Warrant liability</w:t>
            </w:r>
          </w:p>
        </w:tc>
        <w:tc>
          <w:tcPr>
            <w:tcW w:w="19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10,581</w:t>
            </w:r>
          </w:p>
        </w:tc>
        <w:tc>
          <w:tcPr>
            <w:tcW w:w="0" w:type="dxa"/>
            <w:vAlign w:val="bottom"/>
          </w:tcPr>
          <w:p>
            <w:pPr>
              <w:spacing w:after="0"/>
              <w:rPr>
                <w:sz w:val="1"/>
                <w:szCs w:val="1"/>
                <w:color w:val="auto"/>
              </w:rPr>
            </w:pPr>
          </w:p>
        </w:tc>
      </w:tr>
      <w:tr>
        <w:trPr>
          <w:trHeight w:val="260"/>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Warrant Liabilities</w:t>
            </w:r>
          </w:p>
        </w:tc>
        <w:tc>
          <w:tcPr>
            <w:tcW w:w="1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Sponsor Earnout liability</w:t>
            </w:r>
          </w:p>
        </w:tc>
        <w:tc>
          <w:tcPr>
            <w:tcW w:w="25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Convertible Notes</w:t>
            </w:r>
          </w:p>
        </w:tc>
        <w:tc>
          <w:tcPr>
            <w:tcW w:w="2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818"/>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7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70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100" w:type="dxa"/>
            <w:vAlign w:val="bottom"/>
          </w:tcPr>
          <w:p>
            <w:pPr>
              <w:spacing w:after="0"/>
              <w:rPr>
                <w:sz w:val="16"/>
                <w:szCs w:val="16"/>
                <w:color w:val="auto"/>
              </w:rPr>
            </w:pPr>
          </w:p>
        </w:tc>
        <w:tc>
          <w:tcPr>
            <w:tcW w:w="230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300" w:type="dxa"/>
            <w:vAlign w:val="bottom"/>
          </w:tcPr>
          <w:p>
            <w:pPr>
              <w:spacing w:after="0"/>
              <w:rPr>
                <w:sz w:val="16"/>
                <w:szCs w:val="16"/>
                <w:color w:val="auto"/>
              </w:rPr>
            </w:pPr>
          </w:p>
        </w:tc>
      </w:tr>
      <w:tr>
        <w:trPr>
          <w:trHeight w:val="38"/>
        </w:trPr>
        <w:tc>
          <w:tcPr>
            <w:tcW w:w="6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68"/>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3"/>
        </w:trPr>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5"/>
                <w:szCs w:val="15"/>
                <w:color w:val="auto"/>
              </w:rPr>
            </w:pPr>
          </w:p>
        </w:tc>
        <w:tc>
          <w:tcPr>
            <w:tcW w:w="130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0"/>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64"/>
              <w:spacing w:after="0" w:line="160" w:lineRule="exact"/>
              <w:rPr>
                <w:sz w:val="20"/>
                <w:szCs w:val="20"/>
                <w:color w:val="auto"/>
              </w:rPr>
            </w:pPr>
            <w:r>
              <w:rPr>
                <w:rFonts w:ascii="Times New Roman" w:cs="Times New Roman" w:eastAsia="Times New Roman" w:hAnsi="Times New Roman"/>
                <w:sz w:val="14"/>
                <w:szCs w:val="14"/>
                <w:b w:val="1"/>
                <w:bCs w:val="1"/>
                <w:color w:val="auto"/>
              </w:rPr>
              <w:t>markets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3"/>
                <w:szCs w:val="13"/>
                <w:color w:val="auto"/>
              </w:rPr>
            </w:pPr>
          </w:p>
        </w:tc>
        <w:tc>
          <w:tcPr>
            <w:tcW w:w="1300" w:type="dxa"/>
            <w:vAlign w:val="bottom"/>
          </w:tcPr>
          <w:p>
            <w:pPr>
              <w:jc w:val="center"/>
              <w:ind w:right="123"/>
              <w:spacing w:after="0" w:line="160" w:lineRule="exact"/>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200"/>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1100" w:type="dxa"/>
            <w:vAlign w:val="bottom"/>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80" w:type="dxa"/>
            <w:vAlign w:val="bottom"/>
          </w:tcPr>
          <w:p>
            <w:pPr>
              <w:spacing w:after="0"/>
              <w:rPr>
                <w:sz w:val="17"/>
                <w:szCs w:val="17"/>
                <w:color w:val="auto"/>
              </w:rPr>
            </w:pPr>
          </w:p>
        </w:tc>
        <w:tc>
          <w:tcPr>
            <w:tcW w:w="130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inputs (Level 3)</w:t>
            </w:r>
          </w:p>
        </w:tc>
      </w:tr>
      <w:tr>
        <w:trPr>
          <w:trHeight w:val="25"/>
        </w:trPr>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0"/>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 Warrants</w:t>
            </w:r>
          </w:p>
        </w:tc>
        <w:tc>
          <w:tcPr>
            <w:tcW w:w="110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57"/>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$8.63 </w:t>
            </w:r>
            <w:r>
              <w:rPr>
                <w:rFonts w:ascii="Times New Roman" w:cs="Times New Roman" w:eastAsia="Times New Roman" w:hAnsi="Times New Roman"/>
                <w:sz w:val="15"/>
                <w:szCs w:val="15"/>
                <w:color w:val="auto"/>
              </w:rPr>
              <w:t>Warrants liability</w:t>
            </w:r>
          </w:p>
        </w:tc>
        <w:tc>
          <w:tcPr>
            <w:tcW w:w="110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PIPE Warrant liability</w:t>
            </w:r>
          </w:p>
        </w:tc>
        <w:tc>
          <w:tcPr>
            <w:tcW w:w="11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33"/>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Liberty Warrants and Liberty Advisory Fee Warrant liability</w:t>
            </w:r>
          </w:p>
        </w:tc>
        <w:tc>
          <w:tcPr>
            <w:tcW w:w="1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8,012</w:t>
            </w:r>
          </w:p>
        </w:tc>
      </w:tr>
      <w:tr>
        <w:trPr>
          <w:trHeight w:val="260"/>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 Liabilities</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8,483</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Sponsor Earnout Liability</w:t>
            </w:r>
          </w:p>
        </w:tc>
        <w:tc>
          <w:tcPr>
            <w:tcW w:w="110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3"/>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Convertible Notes</w:t>
            </w:r>
          </w:p>
        </w:tc>
        <w:tc>
          <w:tcPr>
            <w:tcW w:w="110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values at March 31, 2025:</w:t>
      </w:r>
    </w:p>
    <w:p>
      <w:pPr>
        <w:spacing w:after="0" w:line="206" w:lineRule="exact"/>
        <w:rPr>
          <w:sz w:val="20"/>
          <w:szCs w:val="20"/>
          <w:color w:val="auto"/>
        </w:rPr>
      </w:pPr>
    </w:p>
    <w:p>
      <w:pPr>
        <w:ind w:left="640" w:hanging="314"/>
        <w:spacing w:after="0" w:line="260"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cash and cash equivalents, restricted cash, accounts receivable, prepaid expenses and other current assets, accounts payable, and accrued expenses and other liabilities are considered to approximate their fair values due to the short-term nature of these items.</w:t>
      </w:r>
    </w:p>
    <w:p>
      <w:pPr>
        <w:spacing w:after="0" w:line="203" w:lineRule="exact"/>
        <w:rPr>
          <w:rFonts w:ascii="Times New Roman" w:cs="Times New Roman" w:eastAsia="Times New Roman" w:hAnsi="Times New Roman"/>
          <w:sz w:val="18"/>
          <w:szCs w:val="18"/>
          <w:color w:val="auto"/>
        </w:rPr>
      </w:pPr>
    </w:p>
    <w:p>
      <w:pPr>
        <w:jc w:val="both"/>
        <w:ind w:left="640" w:hanging="314"/>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assumption is based on the historical volatility of the Company’s and OS’s stock prices, implied volatility of the Company’s and guideline public companies’ stock prices and the risk free rate of return assumption is based on market rates. An increase in volatility and or the risk free rate of return would result in higher values for the Company’s stock warrants, the OS stock warrants.</w:t>
      </w:r>
    </w:p>
    <w:p>
      <w:pPr>
        <w:spacing w:after="0" w:line="215" w:lineRule="exact"/>
        <w:rPr>
          <w:rFonts w:ascii="Times New Roman" w:cs="Times New Roman" w:eastAsia="Times New Roman" w:hAnsi="Times New Roman"/>
          <w:sz w:val="18"/>
          <w:szCs w:val="18"/>
          <w:color w:val="auto"/>
        </w:rPr>
      </w:pPr>
    </w:p>
    <w:p>
      <w:pPr>
        <w:ind w:left="640" w:right="460" w:hanging="314"/>
        <w:spacing w:after="0" w:line="243"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OS stock warrant investment assets have been estimated using the Black-Scholes model. Significant unobservable inputs include:</w:t>
      </w:r>
    </w:p>
    <w:p>
      <w:pPr>
        <w:ind w:left="1280" w:hanging="315"/>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0.75 year</w:t>
      </w:r>
    </w:p>
    <w:p>
      <w:pPr>
        <w:spacing w:after="0" w:line="5" w:lineRule="exact"/>
        <w:rPr>
          <w:rFonts w:ascii="Times New Roman" w:cs="Times New Roman" w:eastAsia="Times New Roman" w:hAnsi="Times New Roman"/>
          <w:sz w:val="18"/>
          <w:szCs w:val="18"/>
          <w:color w:val="auto"/>
        </w:rPr>
      </w:pPr>
    </w:p>
    <w:p>
      <w:pPr>
        <w:ind w:left="1280" w:hanging="315"/>
        <w:spacing w:after="0" w:line="232" w:lineRule="auto"/>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30.8%</w:t>
      </w:r>
    </w:p>
    <w:p>
      <w:pPr>
        <w:ind w:left="1280" w:hanging="315"/>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4.1%</w:t>
      </w:r>
    </w:p>
    <w:p>
      <w:pPr>
        <w:spacing w:after="0" w:line="21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$8.63 Warrants were determined using the quoted prices in the active warrant market.</w:t>
      </w:r>
    </w:p>
    <w:p>
      <w:pPr>
        <w:spacing w:after="0" w:line="218"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PIPE Warrant have been estimated using the Black-Scholes model. Significant unobservable inputs include:</w:t>
      </w:r>
    </w:p>
    <w:p>
      <w:pPr>
        <w:spacing w:after="0" w:line="12" w:lineRule="exact"/>
        <w:rPr>
          <w:rFonts w:ascii="Times New Roman" w:cs="Times New Roman" w:eastAsia="Times New Roman" w:hAnsi="Times New Roman"/>
          <w:sz w:val="18"/>
          <w:szCs w:val="18"/>
          <w:color w:val="auto"/>
        </w:rPr>
      </w:pPr>
    </w:p>
    <w:p>
      <w:pPr>
        <w:ind w:left="1280" w:hanging="315"/>
        <w:spacing w:after="0" w:line="231" w:lineRule="auto"/>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1.8 years</w:t>
      </w:r>
    </w:p>
    <w:p>
      <w:pPr>
        <w:ind w:left="1280" w:hanging="315"/>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82%</w:t>
      </w:r>
    </w:p>
    <w:p>
      <w:pPr>
        <w:spacing w:after="0" w:line="5"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3.9%</w:t>
      </w:r>
    </w:p>
    <w:p>
      <w:pPr>
        <w:spacing w:after="0" w:line="213" w:lineRule="exact"/>
        <w:rPr>
          <w:rFonts w:ascii="Times New Roman" w:cs="Times New Roman" w:eastAsia="Times New Roman" w:hAnsi="Times New Roman"/>
          <w:sz w:val="18"/>
          <w:szCs w:val="18"/>
          <w:color w:val="auto"/>
        </w:rPr>
      </w:pPr>
    </w:p>
    <w:p>
      <w:pPr>
        <w:ind w:left="640" w:right="760" w:hanging="314"/>
        <w:spacing w:after="0" w:line="250"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Liberty Warrants and Liberty Advisory Fee Warrant have been estimated using the Black-Scholes model. Significant unobservable inputs include:</w:t>
      </w:r>
    </w:p>
    <w:p>
      <w:pPr>
        <w:ind w:left="1280" w:hanging="315"/>
        <w:spacing w:after="0" w:line="232" w:lineRule="auto"/>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1.8 years</w:t>
      </w:r>
    </w:p>
    <w:p>
      <w:pPr>
        <w:ind w:left="1280" w:hanging="315"/>
        <w:spacing w:after="0" w:line="231" w:lineRule="auto"/>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82.0%</w:t>
      </w:r>
    </w:p>
    <w:p>
      <w:pPr>
        <w:ind w:left="1280" w:hanging="315"/>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3.9%</w:t>
      </w:r>
    </w:p>
    <w:p>
      <w:pPr>
        <w:spacing w:after="0" w:line="198"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Sponsor Earnout has been estimated using the Monte Carlo model. Significant unobservable inputs include:</w:t>
      </w:r>
    </w:p>
    <w:p>
      <w:pPr>
        <w:spacing w:after="0" w:line="12" w:lineRule="exact"/>
        <w:rPr>
          <w:rFonts w:ascii="Times New Roman" w:cs="Times New Roman" w:eastAsia="Times New Roman" w:hAnsi="Times New Roman"/>
          <w:sz w:val="18"/>
          <w:szCs w:val="18"/>
          <w:color w:val="auto"/>
        </w:rPr>
      </w:pPr>
    </w:p>
    <w:p>
      <w:pPr>
        <w:ind w:left="1280" w:hanging="315"/>
        <w:spacing w:after="0" w:line="231" w:lineRule="auto"/>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1.8 years</w:t>
      </w:r>
    </w:p>
    <w:p>
      <w:pPr>
        <w:ind w:left="1280" w:hanging="315"/>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82%</w:t>
      </w:r>
    </w:p>
    <w:p>
      <w:pPr>
        <w:spacing w:after="0" w:line="5"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3.9%</w:t>
      </w:r>
    </w:p>
    <w:p>
      <w:pPr>
        <w:spacing w:after="0" w:line="213"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Secured Convertible Notes is determined by using the “with” method. At each measurement date we valued the Secured Convertible Notes with the conversion option. The difference between the aggregate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ind w:left="640"/>
        <w:spacing w:after="0" w:line="250" w:lineRule="auto"/>
        <w:rPr>
          <w:sz w:val="20"/>
          <w:szCs w:val="20"/>
          <w:color w:val="auto"/>
        </w:rPr>
      </w:pPr>
      <w:r>
        <w:rPr>
          <w:rFonts w:ascii="Times New Roman" w:cs="Times New Roman" w:eastAsia="Times New Roman" w:hAnsi="Times New Roman"/>
          <w:sz w:val="18"/>
          <w:szCs w:val="18"/>
          <w:color w:val="auto"/>
        </w:rPr>
        <w:t>fair value of the Secured Convertible Notes and the unpaid principal balance was $66.6 million at March 31, 2025. Inputs used for the fair value measurement include:</w:t>
      </w:r>
    </w:p>
    <w:p>
      <w:pPr>
        <w:ind w:left="1280" w:hanging="315"/>
        <w:spacing w:after="0" w:line="233"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spread – 25.42% to 37.92%</w:t>
      </w:r>
    </w:p>
    <w:p>
      <w:pPr>
        <w:ind w:left="1280" w:hanging="315"/>
        <w:spacing w:after="0" w:line="231"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50%</w:t>
      </w:r>
    </w:p>
    <w:p>
      <w:pPr>
        <w:ind w:left="1280" w:hanging="315"/>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3.9%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fair value of Level 3 assets during the three months ended March 31, 2025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OS warrants</w:t>
            </w:r>
          </w:p>
        </w:tc>
      </w:tr>
      <w:tr>
        <w:trPr>
          <w:trHeight w:val="22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2024</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w:t>
            </w:r>
          </w:p>
        </w:tc>
      </w:tr>
      <w:tr>
        <w:trPr>
          <w:trHeight w:val="240"/>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 gain/(loss)</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3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9"/>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At March 31, 2025</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1,053</w:t>
            </w:r>
          </w:p>
        </w:tc>
      </w:tr>
      <w:tr>
        <w:trPr>
          <w:trHeight w:val="20"/>
        </w:trPr>
        <w:tc>
          <w:tcPr>
            <w:tcW w:w="9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firstLine="6"/>
        <w:spacing w:after="0" w:line="227" w:lineRule="auto"/>
        <w:tabs>
          <w:tab w:leader="none" w:pos="169"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Recognized in the Condensed Consolidated Statements of Operations and Comprehensive Loss as change in fair value of financial instruments for the three months ended March 31, 2025.</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fair value of Level 3 liabilities during the three months ended March 31, 2025 and 2024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Liberty Warrants</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3"/>
        </w:trPr>
        <w:tc>
          <w:tcPr>
            <w:tcW w:w="5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Liberty</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0"/>
        </w:trPr>
        <w:tc>
          <w:tcPr>
            <w:tcW w:w="5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Advisory Fee</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01"/>
              <w:spacing w:after="0" w:line="160" w:lineRule="exact"/>
              <w:rPr>
                <w:sz w:val="20"/>
                <w:szCs w:val="20"/>
                <w:color w:val="auto"/>
              </w:rPr>
            </w:pPr>
            <w:r>
              <w:rPr>
                <w:rFonts w:ascii="Times New Roman" w:cs="Times New Roman" w:eastAsia="Times New Roman" w:hAnsi="Times New Roman"/>
                <w:sz w:val="14"/>
                <w:szCs w:val="14"/>
                <w:b w:val="1"/>
                <w:bCs w:val="1"/>
                <w:color w:val="auto"/>
              </w:rPr>
              <w:t>Secured</w:t>
            </w:r>
          </w:p>
        </w:tc>
      </w:tr>
      <w:tr>
        <w:trPr>
          <w:trHeight w:val="200"/>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PIPE Warrant</w:t>
            </w:r>
          </w:p>
        </w:tc>
        <w:tc>
          <w:tcPr>
            <w:tcW w:w="1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Sponsor Earnout</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Convertible Notes</w:t>
            </w:r>
          </w:p>
        </w:tc>
      </w:tr>
      <w:tr>
        <w:trPr>
          <w:trHeight w:val="38"/>
        </w:trPr>
        <w:tc>
          <w:tcPr>
            <w:tcW w:w="59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Remeasurement (gain)/loss</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March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59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79,070</w:t>
            </w:r>
          </w:p>
        </w:tc>
      </w:tr>
      <w:tr>
        <w:trPr>
          <w:trHeight w:val="237"/>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Issues</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r>
      <w:tr>
        <w:trPr>
          <w:trHeight w:val="240"/>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Remeasurement (gain)/loss</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19,190</w:t>
            </w:r>
          </w:p>
        </w:tc>
      </w:tr>
      <w:tr>
        <w:trPr>
          <w:trHeight w:val="231"/>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March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10,581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96,590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firstLine="6"/>
        <w:spacing w:after="0" w:line="235" w:lineRule="auto"/>
        <w:tabs>
          <w:tab w:leader="none" w:pos="169"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Recognized in Change in fair value of the Condensed Consolidated Statements of Operations and Comprehensive Loss as change in fair value of financial instruments for the three months ended March 31, 2025 and 2024, respectively.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and Level 2 during the three months ended March 31, 2025 or 2024.</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Parties</w:t>
      </w:r>
    </w:p>
    <w:p>
      <w:pPr>
        <w:spacing w:after="0" w:line="2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See description of transactions with CF&amp;Co. and Liberty Investment as part of the Merger Transaction described in Note 4. (Reverse Recapitalization) of our 2024 Annual Report. Also see the description of the transaction involving CF&amp;Co. described in Note 17 (Subsequent Events) of this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purchases totaling $0.4 million from our equity method investee, OS, in the three months ended March 31, 2024.</w:t>
      </w:r>
    </w:p>
    <w:p>
      <w:pPr>
        <w:spacing w:after="0" w:line="24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Pursuant to the ATM Program, when designated as sales agent for a particular sale, CF&amp;Co. is to be paid a commission, in cash, at a fixed rate of 3.0% of the gross sales price per share sold under the Second A&amp;R Sales Agreement. CF&amp;Co. is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entitled to reimbursement for certain specified expenses, including the fees and disbursements of CF&amp;Co.’s legal counsel.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Secured Convertible Notes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Convertible Notes as of March 31, 2025 and December 31, 2024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8"/>
        </w:trPr>
        <w:tc>
          <w:tcPr>
            <w:tcW w:w="8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Convertible Notes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96,590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79,070</w:t>
            </w:r>
          </w:p>
        </w:tc>
      </w:tr>
      <w:tr>
        <w:trPr>
          <w:trHeight w:val="21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8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non-current debt</w:t>
            </w: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96,590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April 12, 2024, the Company, Nettar and Acquiom Agency Services LLC (the “Holder Representative”) entered into that certain Note Purchase Agreement (the “Note Purchase Agreement”) with the Purchaser, pursuant to which Nettar agreed to issue $30.0 million in aggregate principal amount of floating rate secured convertible promissory notes (the “Secured Convertible Notes”) to the Purchaser. The net proceeds from the issuance of the Secured Convertible Notes, after deducting transaction fees and other debt issuance costs, was approximately $27.6 million. The Secured Convertible Notes initially bear interest at a rate of SOFR plus 6.50% per annum (10.70% as of March 31, 2025), subject to an additional 4.0% per annum if certain events of default occur and are continuing (“Contingent Interest Feature”).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$50.0 million.</w:t>
      </w:r>
    </w:p>
    <w:p>
      <w:pPr>
        <w:spacing w:after="0" w:line="2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Secured Convertible Notes are convertible into shares of the Company’s Class A common stock at an initial conversion price of $1.20 (or 833.33 shares of Class A common stock per $1,000 principal amount of Secured Convertible Notes) (“Conversion Feature”), subject to customary anti-dilution adjustments. The Company’s ability to settle conversions using the Company’s Class A common stock is subject to CFIUS Approval (as defined in the Note Purchase Agreement).</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Unless this Note has been previously settled or converted in accordance with the other features mentioned within agreement, the entire outstanding principal balance and all unpaid accrued interest shall become fully due and payable on the Maturity Date of April 12, 2028.</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scheduled maturity of the Secured Convertible Notes assuming no conversion prior to maturity:</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6"/>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3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remaining Secured Convertible Notes payments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event of an asset sale by the Company (outside the ordinary course of business) or an insurance or condemnation event that results in net proceeds to the Company in excess of $2.0 million Nettar will be required to offer to prepay the Secured Convertible Notes up to the amount of such proceeds at par (unless such proceeds are used to purchase comparable assets within six months). In the event the Secured Convertible Notes are accelerated as a result of an event of default, Nettar must pay a pre-payment penalty equal to 5% of the greater of (i) the outstanding principal amount and (ii) the then-prevailing conversion value. In connection with a change of control of the Company (including delisting of the Company’s Class A common stock), the holder has the right to require the Company to repurchase the Secured Convertible Notes for cash at a price equal to the greater of (i) 105% of the redemption value of the Secured Convertible Notes or (ii) 105% of the then-prevailing conversion value, plus accrued but unpaid interest thereon, as well as any other amounts owed (the “Put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Price”). Nettar also has the right to repurchase or force-convert the Secured Convertible Notes in connection with a full acquisition of the Company at the Put Price.</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$50.0 million), (ii) creating certain liens, subject to certain exceptions, (iii) the payment of dividends or other restricted payments, (iv) the sale, transfer or otherwise conveyance of certain assets, subject to asset sale pre-payment described above, and (v) affiliate transactions.</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connection with the offering of the Secured Convertible Notes, the Company also entered into (i) a side letter with the Purchaser, pursuant to which the Purchaser will be entitled to pre-emptive rights, in order to maintain its as-converted ownership percentage on the same basis as new capital raised and (ii) a registration rights agreement with the Purchaser, pursuant to which the Company agreed to register for resale the Class A common stock issuable upon conversion of the Secured Convertible Notes.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option</w:t>
      </w: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chose to record the Secured Convertible Notes using the fair value option whereby the Secured Convertible Notes are valued as one instrument. If this election had not been made, the Company would have been required to bifurcate the Conversion Feature and the Contingent Interest Feature of the notes as separate derivatives. The Company elected the fair value option in order to account for the Notes as one instrument to better reflect the way that the Company views the financial instrument. As a result of electing the fair value option, interest on the Secured Convertible Notes is included in the Change in fair value of financial instruments on the statement of operations and comprehensive loss and debt issuance costs were recorded as expense in the current period rather than being deferred and recorded as expense over the life of the Secured Convertible Notes. The carrying value of Secured Convertible notes at March 31, 2025 and December 31, 2024 includes accrued interest of $0.2 million and $1.0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be named from time to time as a party to lawsuits arising in the ordinary course of business related to its sales, marketing, and the provision of its services and equipment. Litigation and contingency accruals are based on our assessment, including advice of legal counsel, regarding the expected outcome of litigation or other dispute resolution proceedings. If we determine that an unfavorable outcome is probable and can be reasonably assessed, we establish the necessary accruals. As of March 31, 2025 and December 31, 2024, we are not aware of any contingent liabilities that should be reflected in the Condensed Consolidated Financial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Launch Services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purchased commitments for future satellite launch services to be performed by third parties subsequent to December 31, 2024. Future purchase commitments under noncancelable launch service contracts as of March 31, 2025 for the year ending December 31, 2025 consisted of approximately $0.8 million and total commitments are $10.9 million through 2028.</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April 15, 2025, the Company entered into the Securities Purchase Agreement with the purchaser party thereto, pursuant to which the Company agreed to issue and sell in the Registered Direct Offering, 6,451,612 shares of the Company’s Class A common stock at an offering price of $3.10 per share. The gross proceeds to the Company from the Registered Direct Offering were approximately $20.0 million, before deducting the placement agent’s fees and estimated offering expenses payable by the Company. Closing of the Registered Direct Offering occurred on April 16, 2025. CF&amp;Co. acted as the exclusive placement agent (the “Placement Agent”) for the Registered Direct Offering, pursuant to that certain Placement Agent Agreement (the “Placement Agent Agreement”), dated April 15, 2025, by and between the Company and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Placement Agent. Pursuant to the Placement Agent Agreement, the Company agreed to pay the Placement Agent a cash fee equal to 4.0% of the aggregate gross proceeds raised in the Registered Direct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32" w:lineRule="exact"/>
        <w:rPr>
          <w:sz w:val="20"/>
          <w:szCs w:val="20"/>
          <w:color w:val="auto"/>
        </w:rPr>
      </w:pPr>
    </w:p>
    <w:p>
      <w:pPr>
        <w:jc w:val="both"/>
        <w:ind w:firstLine="479"/>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financial statements and notes to those statements included in this Report. This discussion contains forward-looking statements that involve risks and uncertainties. In addition to historical information, the following Management’s Discussion and Analysis of Financial Condition and Results of Operations contains forward-looking statements that involve risks and uncertainties. Please see “Risk Factors” and “Cautionary Note Regarding Forward-Looking Statements” in this Report.</w:t>
      </w:r>
    </w:p>
    <w:p>
      <w:pPr>
        <w:spacing w:after="0" w:line="2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34"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We were founded in 2010 to help solve some of the greatest challenges of our time: resource utilization and distribution. From tradeoffs between food, energy and water supplies, to monitoring the impact of natural disasters, global health and humanitarian crises in the midst of a looming climate emergency, access to a continually refreshed source of global, high-quality data is critical to confronting some of the world’s most crucial issues. We are committed to creating a fully automated and searchable EO catalog, and we believe we are uniquely positioned to provide the data that is critical to better inform decision-making aimed at addressing these challenges.</w:t>
      </w:r>
    </w:p>
    <w:p>
      <w:pPr>
        <w:spacing w:after="0" w:line="221"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We are the first vertically integrated geospatial company, and we are building the first scalable, fully automated EO platform with the ability, when scaled, to remap the entire planet at both high-frequency and high-resolution, providing accessible and affordable solutions for our customers. We plan to democratize access to geospatial data by providing planetary insights at what we believe to be the lowest cost in the industry, ultimately driving better decision-making across a broad range of industries including agriculture, forestry, energy, financial services, and cartography.</w:t>
      </w:r>
    </w:p>
    <w:p>
      <w:pPr>
        <w:spacing w:after="0" w:line="203" w:lineRule="exact"/>
        <w:rPr>
          <w:sz w:val="20"/>
          <w:szCs w:val="20"/>
          <w:color w:val="auto"/>
        </w:rPr>
      </w:pPr>
    </w:p>
    <w:p>
      <w:pPr>
        <w:jc w:val="both"/>
        <w:ind w:firstLine="479"/>
        <w:spacing w:after="0" w:line="239" w:lineRule="auto"/>
        <w:rPr>
          <w:sz w:val="20"/>
          <w:szCs w:val="20"/>
          <w:color w:val="auto"/>
        </w:rPr>
      </w:pPr>
      <w:r>
        <w:rPr>
          <w:rFonts w:ascii="Times New Roman" w:cs="Times New Roman" w:eastAsia="Times New Roman" w:hAnsi="Times New Roman"/>
          <w:sz w:val="18"/>
          <w:szCs w:val="18"/>
          <w:color w:val="auto"/>
        </w:rPr>
        <w:t>We have created a highly scalable, vertically integrated and competitive operating model.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This vertical integration provides a significant cost advantage, enabling us to produce and launch satellites for less than one-tenth the cost of our competitors on average. Additionally, we own all our key intellectual property, and our patented technology allows us to capture approximately 10x more imagery than our competitors on average. Taken together, we are achieving over 60x better unit economics than our closest peers in the NewSpace sector and more than 100x better unit economics than legacy competitors. Additionally, we believe we are well-positioned to compete effectively in the existing EO market that is currently supply-constrained and consists primarily of government and D&amp;I customers. At March 31, 2025, we had 22 commercial satellites in orbit. As of the date of this Report, we have 21 satellites in orbit, of which 19 are operational and two are being used for testing. Over the near term, we will take a measured approach to expanding our constellation, with our long term vision to reach a constellation size of approximately 200 satellites and to have the capability to conduct daily remaps of the entire planet.</w:t>
      </w:r>
    </w:p>
    <w:p>
      <w:pPr>
        <w:spacing w:after="0" w:line="222"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Our strategy is focused along three distinct business lines: Asset Monitoring, CaaS, and Space Systems. These business lines will allow us to serve the existing EO market and begin to democratize access to a host of new EO customers.</w:t>
      </w:r>
    </w:p>
    <w:p>
      <w:pPr>
        <w:spacing w:after="0" w:line="19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August 2023, we strategically realigned our business in an effort to capture high value opportunities in the U.S. market, focusing resources on what we believe to be our highest growth opportunities, while sustaining core customers and operating a lean organization. As part of this strategic realignment, we consummated the Domestication.</w:t>
      </w:r>
    </w:p>
    <w:p>
      <w:pPr>
        <w:spacing w:after="0" w:line="197"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We continue to expect that our Asset Monitoring business will represent the most predictable revenue stream, and we anticipate that it will be among the primary drivers of the business going forward. Every day, both government and commercial customers task our satellites around the world to monitor assets and keep up with their changing reality. D&amp;I customers look at ports, airfields or build-up of military equipment; mining companies monitor the environmental impact of their operations; and insurance companies are interested in building baselines and quickly assessing property damage as it occurs. With the largest available sub-meter capacity, high quality imagery and superior unit economics, we can support a growing number of customers around the world.</w:t>
      </w:r>
    </w:p>
    <w:p>
      <w:pPr>
        <w:spacing w:after="0" w:line="207"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Our CaaS business offers governments around the world the ability to control satellites above specific areas of interest. We anticipate that our CaaS line of business will, over time, provide us with a strong recurring-revenue base in the government and D&amp;I market.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3" w:name="page34"/>
    <w:bookmarkEnd w:id="33"/>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Our Space Systems business is effectively satellite sales and support for customers that have a need or desire to own the satellites being utilized to capture imagery. As such, Space Systems leverages our ability to quickly build and launch high quality, sub-meter satellites at a low cost for these customers. We have built a vertically integrated satellite manufacturing capability that is critical in achieving our low-CAPEX cost and ultimately reaching our unit-economic targets for our Asset Monitoring business. Vertical integration enables us to manage our supply chain and navigate evolving global supply issues and challenges with minimal adverse impact to our satellite manufacturing schedule. Our fast satellite build-to-launch cycles can progress from purchase order to commissioning in orbit in as little as eight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Operating Results</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believe our performance and future success depend on several factors that present significant opportunities for us but also pose risks and challenges. Although our industry is highly competitive, we believe that we have competitive advantages that revolve around unit economics, design and technology, a vertically integrated structure, and an efficient build-to-launch cycle. Our success in marketing these advantages to win new customers and convert our pipeline of potential contracts into revenue will largely determine the extent of our financial success.</w:t>
      </w:r>
    </w:p>
    <w:p>
      <w:pPr>
        <w:spacing w:after="0" w:line="208"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More specifically, we believe some of our key opportunities include the continued adoption of our high-resolution EO images, primarily with D&amp;I customers within the U.S. government and allied countries. Additionally, the increase in market adoption of next generation high resolution space system (satellite) sales can also positively impact the future performance of our business. However, long and complex sales cycles, which typically accompany government and satellite program sales transactions, can impact our performance. Furthermore, as we are dependent on a small number of customers for a large portion of our revenue, the loss of one or more of our major customers could have a material adverse effect on our business, financial condition, and results of operations.</w:t>
      </w:r>
    </w:p>
    <w:p>
      <w:pPr>
        <w:spacing w:after="0" w:line="207"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We are currently an early-stage company that has not demonstrated a sustained ability to generate sufficient revenue from our expected future principal business. While our revenues have increased each year, we have historically generated insufficient revenues to sustain the business and have relied on outside financing, both debt and equity, to supplement the cash flows generated from our operations. To grow our business, we have to continue to improve our technology and regularly launch new and improved satellites, which require capital. Sustained and repeat business, along with securing new debt and equity capital, are critical for our ongoing success.</w:t>
      </w:r>
    </w:p>
    <w:p>
      <w:pPr>
        <w:spacing w:after="0" w:line="221"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In addition, we believe the Domestication provides greater visibility to investors and customers, particularly as we pursue U.S. government D&amp;I-related contracts, and our success in leveraging this structure change will also be a key factor in our future operating results. However, there can be no assurance that the Domestication will allow us to successfully obtain such contracts or resolve other risks related to competing for government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Components of Results of Operations</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The following briefly describes the components of revenue and expenses as presented in our Condensed Consolidated Statements of Operations and Comprehensive Loss.</w:t>
      </w:r>
    </w:p>
    <w:p>
      <w:pPr>
        <w:spacing w:after="0" w:line="16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are an early-stage revenue company with limited commercial operations, and our activities to date have been conducted in South America, Asia, Europe and North America. Currently, we conduct business through one operating segment. The Condensed Consolidated Financial Statements as of March 31, 2025 and December 31, 2024, and for the three months then ended (the “Condensed Consolidated Financial Statements”) have been prepared in accordance with U.S. GAAP and the rules and regulations of the SEC.</w:t>
      </w:r>
    </w:p>
    <w:p>
      <w:pPr>
        <w:spacing w:after="0" w:line="18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accounts and those of our wholly owned subsidiaries. All intercompany accounts and transactions have been eliminated in consolidation. The Condensed Consolidated Financial Statements are presented in United States thousands of dollars (hereinafter “U.S. dollars” or “$”), unless stated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Revenue is currently derived from our Asset Monitoring, CaaS and Space Systems business lines. We sell our imagery to Asset Monitoring customers as a single task and recognize revenue at a point-in-time, while we enter into arrangements with CaaS customers that provide a stand-ready commitment and recognize revenue over time. For our Space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Systems business lines, we sell our satellites and related products directly to customers and typically recognize revenue at a point in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Cost of sales includes direct costs related to ground stations, cloud and infrastructure costs and digital image processing.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of the costs related to salaries, wages and other benefits, professional fees and stock-based compensation expense related to our back-office functions. Also included in general and administrative expenses are expenses for estimated credit losses on accounts receivable and other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Engineering includes research and development expenses, and consists of the costs related to salaries, wages and other benefits, professional fees, stock-based compensation expense and other engineering-related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Depreciation expense includes depreciation of satellites and other property and equipment.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Interest income, net is primarily comprised of interest earned on our Cash and Cash Equivalents, partially offset by interest expense. Interest expense on the Secured Convertible Notes recognized at fair value is included in Change in fair value of financial instruments.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instruments</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Secured Convertible Notes, warrant liabilities, and earnout liabilities are subject to remeasurement to fair value at each balance sheet date. Changes in the fair value of these liabilities are recorded to Change in fair value of financial instruments in the Condensed Consolidated Statements of Operations and Comprehensive Loss. Since our Secured Convertible Notes are valued utilizing the fair value option, interest expense on the Secured Convertible Notes is also included.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6" w:lineRule="exact"/>
        <w:rPr>
          <w:sz w:val="20"/>
          <w:szCs w:val="20"/>
          <w:color w:val="auto"/>
        </w:rPr>
      </w:pPr>
    </w:p>
    <w:p>
      <w:pPr>
        <w:jc w:val="both"/>
        <w:ind w:right="20" w:firstLine="479"/>
        <w:spacing w:after="0" w:line="276" w:lineRule="auto"/>
        <w:rPr>
          <w:sz w:val="20"/>
          <w:szCs w:val="20"/>
          <w:color w:val="auto"/>
        </w:rPr>
      </w:pPr>
      <w:r>
        <w:rPr>
          <w:rFonts w:ascii="Times New Roman" w:cs="Times New Roman" w:eastAsia="Times New Roman" w:hAnsi="Times New Roman"/>
          <w:sz w:val="18"/>
          <w:szCs w:val="18"/>
          <w:color w:val="auto"/>
        </w:rPr>
        <w:t>Other (expense) income, net consists mainly of differences related to foreign exchange gains and losses as well as gains and losses on disposal of property and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As a corporation domiciled in Delaware, we are subject to taxation in the U.S. We may also be subject to withholding taxes paid at source on interest, dividends received and paid in the various jurisdictions in which we operate, other fixed, annual, determinable or periodic income, and/or income earned in other jurisdictions where we have operations. Current income tax assets and liabilities are measured at the amount expected to be recovered from or paid to the taxation authorities where we operate. The tax rates and tax laws used to compute the amount are those that are enacted or substantively enacted at the reporting date in the countries where we operate and generate taxable income. Deferred income tax is provided using the liability method on temporary differences between the tax basis of assets and liabilities and their carrying amounts for financial reporting purposes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5" w:name="page36"/>
    <w:bookmarkEnd w:id="35"/>
    <w:p>
      <w:pPr>
        <w:ind w:left="4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three months ended March 31, 2025 and 2024</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w:t>
      </w:r>
    </w:p>
    <w:p>
      <w:pPr>
        <w:spacing w:after="0" w:line="266"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7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sales, exclusive of depreciation shown separately below</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5"/>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Engineering</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1"/>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Depreciation expense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2,845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17,926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(14,598)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5,083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5"/>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2874 %</w:t>
            </w:r>
          </w:p>
        </w:tc>
        <w:tc>
          <w:tcPr>
            <w:tcW w:w="0" w:type="dxa"/>
            <w:vAlign w:val="bottom"/>
          </w:tcPr>
          <w:p>
            <w:pPr>
              <w:spacing w:after="0"/>
              <w:rPr>
                <w:sz w:val="1"/>
                <w:szCs w:val="1"/>
                <w:color w:val="auto"/>
              </w:rPr>
            </w:pPr>
          </w:p>
        </w:tc>
      </w:tr>
      <w:tr>
        <w:trPr>
          <w:trHeight w:val="211"/>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1,401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0" w:type="dxa"/>
            <w:vAlign w:val="bottom"/>
          </w:tcPr>
          <w:p>
            <w:pPr>
              <w:spacing w:after="0"/>
              <w:rPr>
                <w:sz w:val="1"/>
                <w:szCs w:val="1"/>
                <w:color w:val="auto"/>
              </w:rPr>
            </w:pP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(31,866)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(13,745)</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0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(32,581)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(15,178)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6"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2025, revenue increased $0.1 million, or 2% to $3.4 million from $3.3 million for the three months ended March 31, 2024, driven primarily by a $0.4 million increase in imagery ordered by new and existing Asset Monitoring customers, partially offset by a $0.4 million decrease in revenue generated from the Space Systems business line. Revenue for the three months ended March 31, 2025 included $2.6 million attributable to our Asset Monitoring line of business, $0.4 million attributable to our Space Systems line of business, and $0.4 million attributable to our CaaS line of business compared to $2.2 million, $0.7 million and $0.4 million, respectively, in the prior year.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Cost of sales, exclusive of depreciation, decreased $0.1 million, or 5%, to $1.2 million for the three months ended March 31, 2025 from $1.3 million for the three months ended March 31, 2024. The decrease was driven primarily by lower Space Systems costs on lower sales volume, partially offset by higher outsourced ground station costs.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7"/>
                <w:szCs w:val="17"/>
                <w:color w:val="auto"/>
              </w:rPr>
            </w:pPr>
          </w:p>
        </w:tc>
        <w:tc>
          <w:tcPr>
            <w:tcW w:w="2300" w:type="dxa"/>
            <w:vAlign w:val="bottom"/>
            <w:gridSpan w:val="3"/>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5"/>
        </w:trPr>
        <w:tc>
          <w:tcPr>
            <w:tcW w:w="6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 administrative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 related to Secured Convertibles Notes</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4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4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Salaries, wages, and other benefits</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 for estimated credit losses on accounts receivable, net of recoveries</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4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Insurance</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Software Expenses</w:t>
            </w:r>
          </w:p>
        </w:tc>
        <w:tc>
          <w:tcPr>
            <w:tcW w:w="2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42"/>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administrative expenses</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1,535</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40"/>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6,485</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9,389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(2,904)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6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Selling, general and administrative expenses decreased $2.9 million, or 31%, to $6.5 million during the three months ended March 31, 2025, from $9.4 million for the three months ended March 31, 2024. The decrease was driven primarily by a $0.5 million decrease in professional fees consisting mainly of the accrued advisory fee pursuant to the Liberty Subscription Agreement and professional fees related to the Secured Convertible Notes in 2024, partially offset by professional fees related to the Domestication in 2025. The decrease was also partially driven by decreases in salaries, wages, stock-based compensation and other benefits as a result of the Company’s workforce reductions in 2024 and other expense reductions resulting from continued cash control measures during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7"/>
                <w:szCs w:val="17"/>
                <w:color w:val="auto"/>
              </w:rPr>
            </w:pPr>
          </w:p>
        </w:tc>
        <w:tc>
          <w:tcPr>
            <w:tcW w:w="17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160" w:type="dxa"/>
            <w:vAlign w:val="bottom"/>
          </w:tcPr>
          <w:p>
            <w:pPr>
              <w:spacing w:after="0"/>
              <w:rPr>
                <w:sz w:val="17"/>
                <w:szCs w:val="17"/>
                <w:color w:val="auto"/>
              </w:rPr>
            </w:pPr>
          </w:p>
        </w:tc>
      </w:tr>
      <w:tr>
        <w:trPr>
          <w:trHeight w:val="25"/>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Pr>
          <w:p>
            <w:pPr>
              <w:spacing w:after="0"/>
              <w:rPr>
                <w:sz w:val="18"/>
                <w:szCs w:val="18"/>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2"/>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Engineering</w:t>
            </w: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Salaries, wages, and other benefits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tcPr>
          <w:p>
            <w:pPr>
              <w:spacing w:after="0"/>
              <w:rPr>
                <w:sz w:val="20"/>
                <w:szCs w:val="20"/>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2,935</w:t>
            </w:r>
          </w:p>
        </w:tc>
        <w:tc>
          <w:tcPr>
            <w:tcW w:w="80" w:type="dxa"/>
            <w:vAlign w:val="bottom"/>
          </w:tcPr>
          <w:p>
            <w:pPr>
              <w:spacing w:after="0"/>
              <w:rPr>
                <w:sz w:val="20"/>
                <w:szCs w:val="20"/>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4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30"/>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4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Software expenses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33"/>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802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6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4,387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(1,894)</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01"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Engineering expenses decreased $1.9 million, or 43%, to $2.5 million for the three months ended March 31, 2025 from $4.4 million for the three months ended March 31, 2024. The decrease was driven primarily by a decrease in salaries, wages, and other benefits and stock-based compensation as a result of the Company’s workforce reductions in 2024. The decrease was also partially driven by other expense reductions resulting from continued cash control measures during 2024, including the termination of our high-throughput plant lease in the Netherlands.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16" w:lineRule="exact"/>
        <w:rPr>
          <w:sz w:val="20"/>
          <w:szCs w:val="20"/>
          <w:color w:val="auto"/>
        </w:rPr>
      </w:pPr>
    </w:p>
    <w:p>
      <w:pPr>
        <w:jc w:val="both"/>
        <w:ind w:right="20" w:firstLine="479"/>
        <w:spacing w:after="0" w:line="261" w:lineRule="auto"/>
        <w:rPr>
          <w:sz w:val="20"/>
          <w:szCs w:val="20"/>
          <w:color w:val="auto"/>
        </w:rPr>
      </w:pPr>
      <w:r>
        <w:rPr>
          <w:rFonts w:ascii="Times New Roman" w:cs="Times New Roman" w:eastAsia="Times New Roman" w:hAnsi="Times New Roman"/>
          <w:sz w:val="18"/>
          <w:szCs w:val="18"/>
          <w:color w:val="auto"/>
        </w:rPr>
        <w:t>Depreciation expense decreased slightly by $0.2 million, or 6%, to $2.7 million for the three months ended March 31, 2025, as compared to $2.8 million for the three months ended March 31, 2024. The decrease was due primarily to two fewer operational satellites in orbit as of March 31, 2025 compared to March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income, net remained flat for the three months ended March 31, 2025 as compared to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instruments</w:t>
      </w:r>
    </w:p>
    <w:p>
      <w:pPr>
        <w:spacing w:after="0" w:line="156"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The negative change in fair value of financial instruments of $21.6 million was related to net losses on our financial instruments of $22.4 million for the three months ended March 31, 2025, compared to net losses of $0.8 million for the three months ended March 31, 2024. The change was primarily driven by the remeasurement of the fair value of the Secured Convertible Notes and our warrant and earnout liabilities primarily impacted by the increase in trading price of our Class A common stock. These losses were partially offset by a gain on the value of our OS warrants due primarily to the increase in the underlying stock price of the warrant.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6" w:lineRule="exact"/>
        <w:rPr>
          <w:sz w:val="20"/>
          <w:szCs w:val="20"/>
          <w:color w:val="auto"/>
        </w:rPr>
      </w:pPr>
    </w:p>
    <w:p>
      <w:pPr>
        <w:jc w:val="both"/>
        <w:ind w:right="20" w:firstLine="479"/>
        <w:spacing w:after="0" w:line="261" w:lineRule="auto"/>
        <w:rPr>
          <w:sz w:val="20"/>
          <w:szCs w:val="20"/>
          <w:color w:val="auto"/>
        </w:rPr>
      </w:pPr>
      <w:r>
        <w:rPr>
          <w:rFonts w:ascii="Times New Roman" w:cs="Times New Roman" w:eastAsia="Times New Roman" w:hAnsi="Times New Roman"/>
          <w:sz w:val="18"/>
          <w:szCs w:val="18"/>
          <w:color w:val="auto"/>
        </w:rPr>
        <w:t>Other (expense) income, net decreased $1.6 million, or 112%, to $0.2 million of expense for the three months ended March 31, 2025, compared to $1.4 million of income for the three months ended March 31, 2024. The decrease was driven primarily by foreign currency exchange net losses for the three months ended March 31, 2025 compared to foreign currency exchange net gains in the three months ended March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Income tax expense decreased by $0.7 million, or 50%, to $0.7 million for the three months ended March 31, 2025, from $1.4 million for the three months ended March 31, 2024. The decrease was driven primarily by lower expense related to unrecognized tax benefits. The associated liability was fully accrued in the prior period and only interest was accrued in the current period. The decrease was also driven by exchange rate fluctuations, as the liability is denominated in Argentine pesos while the Company’s functional currency is the U.S. dollar.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which are prepared and presented in accordance with U.S. GAAP, we use the following non-GAAP measures: EBITDA; Adjusted EBITDA; and Free Cash Flow. The presentation of this financial information is not intended to be considered in isolation or as a substitute for, or superior to, the financial information prepared and presented in accordance with U.S. GAAP.</w:t>
      </w:r>
    </w:p>
    <w:p>
      <w:pPr>
        <w:spacing w:after="0" w:line="177"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We define Non-GAAP EBITDA as net loss excluding interest, income taxes, depreciation and amortization. We did not incur amortization expense during the three months ended March 31, 2025 and 2024.</w:t>
      </w:r>
    </w:p>
    <w:p>
      <w:pPr>
        <w:spacing w:after="0" w:line="16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We define Non-GAAP Adjusted EBITDA as Non-GAAP EBITDA further adjusted for other (expense) income, net, changes in the fair value of financial instruments, and stock-based compensation. Other (expense) income, net consists primarily of foreign currency gains and losses.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define Non-GAAP Free Cash Flow as net cash used in operating activities less payments for capital expenditures.</w:t>
      </w:r>
    </w:p>
    <w:p>
      <w:pPr>
        <w:spacing w:after="0" w:line="219"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decision-making and as a means to evaluate period-to-period comparisons. We believe these measures provide analysts, investors and management with helpful information regarding the underlying operating performance of our business, as they provide meaningful supplemental information regarding our performance and liquidity by removing the impact of items that we believe are not reflective of our underlying operating performance. The non-GAAP measures are used by us to evaluate our core operating performance and liquidity on a comparable basis and to make strategic decisions. The non-GAAP measures also facilitate company-to-company operating performance comparisons by backing out potential differences caused by variations such as capital structures, taxation, depreciation, capital expenditures and other non-cash items (i.e., embedded derivatives, debt extinguishment and stock-based compensation) which may vary for different companies for reasons unrelated to operating performance. However, different companies may define these terms differently and accordingly comparisons might not be accurate. There are a number of limitations related to the use of non-GAAP financial measures. We compensate for these limitations by providing specific information regarding the U.S. GAAP amounts excluded from these non-GAAP financial measures, and evaluating these non-GAAP financial measures together with their relevant financial measures in accordance with U.S. GAAP. Non-GAAP measures such as EBITDA, Adjusted EBITDA and Free Cash Flow are not intended to be a substitute for any U.S. GAAP financial measure.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8" w:name="page39"/>
    <w:bookmarkEnd w:id="38"/>
    <w:p>
      <w:pPr>
        <w:ind w:left="480"/>
        <w:spacing w:after="0"/>
        <w:rPr>
          <w:sz w:val="20"/>
          <w:szCs w:val="20"/>
          <w:color w:val="auto"/>
        </w:rPr>
      </w:pPr>
      <w:r>
        <w:rPr>
          <w:rFonts w:ascii="Times New Roman" w:cs="Times New Roman" w:eastAsia="Times New Roman" w:hAnsi="Times New Roman"/>
          <w:sz w:val="18"/>
          <w:szCs w:val="18"/>
          <w:color w:val="auto"/>
        </w:rPr>
        <w:t>The following presents our non-GAAP financial measures, along with the most comparable GAAP metric:</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available to stockholders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(15,178)</w:t>
            </w:r>
          </w:p>
        </w:tc>
        <w:tc>
          <w:tcPr>
            <w:tcW w:w="0" w:type="dxa"/>
            <w:vAlign w:val="bottom"/>
          </w:tcPr>
          <w:p>
            <w:pPr>
              <w:spacing w:after="0"/>
              <w:rPr>
                <w:sz w:val="1"/>
                <w:szCs w:val="1"/>
                <w:color w:val="auto"/>
              </w:rPr>
            </w:pPr>
          </w:p>
        </w:tc>
      </w:tr>
      <w:tr>
        <w:trPr>
          <w:trHeight w:val="211"/>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(non-GAAP)</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(10,891)</w:t>
            </w:r>
          </w:p>
        </w:tc>
        <w:tc>
          <w:tcPr>
            <w:tcW w:w="0" w:type="dxa"/>
            <w:vAlign w:val="bottom"/>
          </w:tcPr>
          <w:p>
            <w:pPr>
              <w:spacing w:after="0"/>
              <w:rPr>
                <w:sz w:val="1"/>
                <w:szCs w:val="1"/>
                <w:color w:val="auto"/>
              </w:rPr>
            </w:pPr>
          </w:p>
        </w:tc>
      </w:tr>
      <w:tr>
        <w:trPr>
          <w:trHeight w:val="21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(non-GAAP)</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0" w:type="dxa"/>
            <w:vAlign w:val="bottom"/>
          </w:tcPr>
          <w:p>
            <w:pPr>
              <w:spacing w:after="0"/>
              <w:rPr>
                <w:sz w:val="1"/>
                <w:szCs w:val="1"/>
                <w:color w:val="auto"/>
              </w:rPr>
            </w:pP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(10,115)</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(non-GAAP)</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(12,057)</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Reconciliations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a reconciliation of Non-GAAP EBITDA and Non-GAAP Adjusted EBITDA to our net loss for the periods indicated.</w:t>
      </w: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40" w:type="dxa"/>
            <w:vAlign w:val="bottom"/>
            <w:gridSpan w:val="4"/>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available to stockholders</w:t>
            </w: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(15,178)</w:t>
            </w:r>
          </w:p>
        </w:tc>
        <w:tc>
          <w:tcPr>
            <w:tcW w:w="0" w:type="dxa"/>
            <w:vAlign w:val="bottom"/>
          </w:tcPr>
          <w:p>
            <w:pPr>
              <w:spacing w:after="0"/>
              <w:rPr>
                <w:sz w:val="1"/>
                <w:szCs w:val="1"/>
                <w:color w:val="auto"/>
              </w:rPr>
            </w:pPr>
          </w:p>
        </w:tc>
      </w:tr>
      <w:tr>
        <w:trPr>
          <w:trHeight w:val="211"/>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0" w:type="dxa"/>
            <w:vAlign w:val="bottom"/>
          </w:tcPr>
          <w:p>
            <w:pPr>
              <w:spacing w:after="0"/>
              <w:rPr>
                <w:sz w:val="1"/>
                <w:szCs w:val="1"/>
                <w:color w:val="auto"/>
              </w:rPr>
            </w:pPr>
          </w:p>
        </w:tc>
      </w:tr>
      <w:tr>
        <w:trPr>
          <w:trHeight w:val="211"/>
        </w:trPr>
        <w:tc>
          <w:tcPr>
            <w:tcW w:w="7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Depreciation expense</w:t>
            </w: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EBITDA</w:t>
            </w: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(10,891)</w:t>
            </w:r>
          </w:p>
        </w:tc>
        <w:tc>
          <w:tcPr>
            <w:tcW w:w="0" w:type="dxa"/>
            <w:vAlign w:val="bottom"/>
          </w:tcPr>
          <w:p>
            <w:pPr>
              <w:spacing w:after="0"/>
              <w:rPr>
                <w:sz w:val="1"/>
                <w:szCs w:val="1"/>
                <w:color w:val="auto"/>
              </w:rPr>
            </w:pPr>
          </w:p>
        </w:tc>
      </w:tr>
      <w:tr>
        <w:trPr>
          <w:trHeight w:val="211"/>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 related to Secured Convertible Notes</w:t>
            </w:r>
          </w:p>
        </w:tc>
        <w:tc>
          <w:tcPr>
            <w:tcW w:w="4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213"/>
        </w:trPr>
        <w:tc>
          <w:tcPr>
            <w:tcW w:w="7380" w:type="dxa"/>
            <w:vAlign w:val="bottom"/>
          </w:tcPr>
          <w:p>
            <w:pPr>
              <w:ind w:left="180"/>
              <w:spacing w:after="0" w:line="213" w:lineRule="exact"/>
              <w:rPr>
                <w:sz w:val="20"/>
                <w:szCs w:val="20"/>
                <w:color w:val="auto"/>
              </w:rPr>
            </w:pPr>
            <w:r>
              <w:rPr>
                <w:rFonts w:ascii="Times New Roman" w:cs="Times New Roman" w:eastAsia="Times New Roman" w:hAnsi="Times New Roman"/>
                <w:sz w:val="16"/>
                <w:szCs w:val="16"/>
                <w:color w:val="auto"/>
              </w:rPr>
              <w:t xml:space="preserve">Other expense (income), net </w:t>
            </w:r>
            <w:r>
              <w:rPr>
                <w:rFonts w:ascii="Times New Roman" w:cs="Times New Roman" w:eastAsia="Times New Roman" w:hAnsi="Times New Roman"/>
                <w:sz w:val="20"/>
                <w:szCs w:val="20"/>
                <w:color w:val="auto"/>
                <w:vertAlign w:val="superscript"/>
              </w:rPr>
              <w:t>(1)</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Adjusted EBITDA</w:t>
            </w:r>
          </w:p>
        </w:tc>
        <w:tc>
          <w:tcPr>
            <w:tcW w:w="4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(6,056)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(9,123)</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firstLine="6"/>
        <w:spacing w:after="0" w:line="238"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expense (income), net includes foreign exchange gain or loss and other non-operating income and expenses not considered indicative of our ongoing operational performance.</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a reconciliation of Non-GAAP Free Cash Flow to cash flows used in operating activities for the periods indicated.</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79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2"/>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(10,115)</w:t>
            </w:r>
          </w:p>
        </w:tc>
      </w:tr>
      <w:tr>
        <w:trPr>
          <w:trHeight w:val="211"/>
        </w:trPr>
        <w:tc>
          <w:tcPr>
            <w:tcW w:w="7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purchases of property and equipment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w:t>
            </w:r>
          </w:p>
        </w:tc>
      </w:tr>
      <w:tr>
        <w:trPr>
          <w:trHeight w:val="209"/>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Free Cash Flow</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(6,635)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(12,057)</w:t>
            </w: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9" w:name="page40"/>
    <w:bookmarkEnd w:id="39"/>
    <w:p>
      <w:pPr>
        <w:ind w:left="4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maintained in highly liquid investments with remaining maturities of 90 days or less at the time of purchase. As of March 31, 2025, we had $17.7 million in cash and cash equivalents on hand and total Secured Convertible Note principal and accrued interest outstanding of $30.2 million.</w:t>
      </w:r>
    </w:p>
    <w:p>
      <w:pPr>
        <w:spacing w:after="0" w:line="17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Since our formation, we have devoted substantial effort and capital resources to the development of our satellite constellation and image technology. As of March 31, 2025, we had an accumulated deficit of $432.7 million, and for the three months ended March 31, 2025, we had net cash used in operating activities of $4.7 million.</w:t>
      </w:r>
    </w:p>
    <w:p>
      <w:pPr>
        <w:spacing w:after="0" w:line="190" w:lineRule="exact"/>
        <w:rPr>
          <w:sz w:val="20"/>
          <w:szCs w:val="20"/>
          <w:color w:val="auto"/>
        </w:rPr>
      </w:pPr>
    </w:p>
    <w:p>
      <w:pPr>
        <w:jc w:val="both"/>
        <w:ind w:firstLine="479"/>
        <w:spacing w:after="0" w:line="245" w:lineRule="auto"/>
        <w:rPr>
          <w:sz w:val="20"/>
          <w:szCs w:val="20"/>
          <w:color w:val="auto"/>
        </w:rPr>
      </w:pPr>
      <w:r>
        <w:rPr>
          <w:rFonts w:ascii="Times New Roman" w:cs="Times New Roman" w:eastAsia="Times New Roman" w:hAnsi="Times New Roman"/>
          <w:sz w:val="18"/>
          <w:szCs w:val="18"/>
          <w:color w:val="auto"/>
        </w:rPr>
        <w:t>As a result of the continued slower than anticipated revenue growth, we continue to maintain cost and spending control measures which were implemented in the second quarter of 2024, including controlling growth in our workforce.</w:t>
      </w:r>
    </w:p>
    <w:p>
      <w:pPr>
        <w:spacing w:after="0" w:line="19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On April 12, 2024, the Company, Nettar, and Holder Representative entered into the Note Purchase Agreement with the Purchaser, pursuant to which Nettar agreed to issue the Secured Convertible Notes in the aggregate principal amount of $30.0 million to the Purchaser.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$50.0 million. The Secured Convertible Notes mature on April 12, 2028.</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$50.0 million), (ii) creating certain liens, subject to certain exceptions, (iii) the payment of dividends or other restricted payments, (iv) the sale, transfer or otherwise conveyance of certain assets, subject to asset sale pre-payment described above, and (v) affiliate transactions.</w:t>
      </w:r>
    </w:p>
    <w:p>
      <w:pPr>
        <w:spacing w:after="0" w:line="18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of the Secured Convertible Notes, the Company also entered into (i) a side letter with the Purchaser, pursuant to which the Purchaser is entitled to pre-emptive rights, in order to maintain its as-converted ownership percentage on the same basis as new capital raised and (ii) a registration rights agreement with the Purchaser (the “Registration Rights Agreement”), pursuant to which the Company agreed to register for resale the Class A common stock issuable upon conversion of the Secured Convertible Notes.</w:t>
      </w:r>
    </w:p>
    <w:p>
      <w:pPr>
        <w:spacing w:after="0" w:line="18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On December 8, 2024, the Company entered into a Share Purchase Agreement with the purchaser party thereto, pursuant to which the Company issued in a private placement an aggregate of 3,571,429 Class A common stock to the purchaser at a purchase price of $2.80 per share. The closing of the private placement occurred on December 10, 2024 and the Company received gross proceeds of $10,000,000. The net proceeds from the offering will be used for general corporate purposes.</w:t>
      </w:r>
    </w:p>
    <w:p>
      <w:pPr>
        <w:spacing w:after="0" w:line="195" w:lineRule="exact"/>
        <w:rPr>
          <w:sz w:val="20"/>
          <w:szCs w:val="20"/>
          <w:color w:val="auto"/>
        </w:rPr>
      </w:pPr>
    </w:p>
    <w:p>
      <w:pPr>
        <w:jc w:val="both"/>
        <w:ind w:firstLine="479"/>
        <w:spacing w:after="0" w:line="237" w:lineRule="auto"/>
        <w:rPr>
          <w:sz w:val="20"/>
          <w:szCs w:val="20"/>
          <w:color w:val="auto"/>
        </w:rPr>
      </w:pPr>
      <w:r>
        <w:rPr>
          <w:rFonts w:ascii="Times New Roman" w:cs="Times New Roman" w:eastAsia="Times New Roman" w:hAnsi="Times New Roman"/>
          <w:sz w:val="18"/>
          <w:szCs w:val="18"/>
          <w:color w:val="auto"/>
        </w:rPr>
        <w:t>On December 10, 2024, the Company filed a shelf registration statement which registers, among other things, the offer and sale by us of up to $150 million aggregate amount of our Class A common stock. The shelf registration statement was declared effective by the SEC on December 20, 2024. In connection with the Domestication, the Company filed a post-effective amendment to the shelf registration statement that was declared effective by the SEC on March 31, 2025.</w:t>
      </w:r>
    </w:p>
    <w:p>
      <w:pPr>
        <w:spacing w:after="0" w:line="207" w:lineRule="exact"/>
        <w:rPr>
          <w:sz w:val="20"/>
          <w:szCs w:val="20"/>
          <w:color w:val="auto"/>
        </w:rPr>
      </w:pPr>
    </w:p>
    <w:p>
      <w:pPr>
        <w:jc w:val="both"/>
        <w:ind w:firstLine="479"/>
        <w:spacing w:after="0" w:line="236" w:lineRule="auto"/>
        <w:rPr>
          <w:sz w:val="20"/>
          <w:szCs w:val="20"/>
          <w:color w:val="auto"/>
        </w:rPr>
      </w:pPr>
      <w:r>
        <w:rPr>
          <w:rFonts w:ascii="Times New Roman" w:cs="Times New Roman" w:eastAsia="Times New Roman" w:hAnsi="Times New Roman"/>
          <w:sz w:val="18"/>
          <w:szCs w:val="18"/>
          <w:color w:val="auto"/>
        </w:rPr>
        <w:t>On December 20, 2024, the Company entered into a Sales Agreement with CF&amp;Co., acting as the Company’s sales agent, pursuant to which the Company may offer and sell, from time to time, through the Sales Agent, its Class A common stock, having an aggregate offering amount of up to $50,000,000 (the “ATM Program”). On February 12, 2025, the Company entered into the Amended Sales Agreement with CF&amp;Co. and Northland, pursuant to which Northland was added as an additional Sales Agent under the ATM Program. On April 9, 2025, the Company entered into the Second A&amp;R Sales Agreement with the Sales Agents, pursuant to which references to the Company’s Class A ordinary shares were replaced with references to the Company’s Class A common stock, along with other conforming changes, in connection with the Domestication. No Class A common stock was sold pursuant to the ATM Program during 2024. During the first quarter, the Company sold $1.2 million aggregate amount of Class A common stock under the ATM Program, leaving an aggregate of $48.8 million remaining under the ATM Program.</w:t>
      </w:r>
    </w:p>
    <w:p>
      <w:pPr>
        <w:spacing w:after="0" w:line="209"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On April 15, 2025, the Company entered into the Securities Purchase Agreement with the purchaser party thereto, pursuant to which the Company agreed to issue and sell in the Registered Direct Offering, 6,451,612 shares of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40" w:name="page41"/>
    <w:bookmarkEnd w:id="40"/>
    <w:p>
      <w:pPr>
        <w:jc w:val="both"/>
        <w:spacing w:after="0" w:line="246" w:lineRule="auto"/>
        <w:rPr>
          <w:sz w:val="20"/>
          <w:szCs w:val="20"/>
          <w:color w:val="auto"/>
        </w:rPr>
      </w:pPr>
      <w:r>
        <w:rPr>
          <w:rFonts w:ascii="Times New Roman" w:cs="Times New Roman" w:eastAsia="Times New Roman" w:hAnsi="Times New Roman"/>
          <w:sz w:val="18"/>
          <w:szCs w:val="18"/>
          <w:color w:val="auto"/>
        </w:rPr>
        <w:t>Company’s Class A common stock at an offering price of $3.10 per share. The gross proceeds to the Company from the Registered Direct Offering were approximately $20.0 million, before deducting the placement agent’s fees and estimated offering expenses payable by the Company. Closing of the Registered Direct Offering occurred on April 16, 2025. See Note 17 (Subsequent Events) of this Report for further details.</w:t>
      </w:r>
    </w:p>
    <w:p>
      <w:pPr>
        <w:spacing w:after="0" w:line="189"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Currently, we primarily rely on our existing cash and cash equivalents balances to fund our business, including capital expenditures, working capital requirements, and anticipated interest payments. Our current and future revenue depends primarily on our ability to: (i) utilize our available satellite capacity with new and existing customers and (ii) enter into new commercial relationships with new customers. There can be no assurance that we will attain positive cash flow from operations. We have experienced, and may continue to experience, negative cash flows, and if we continue to experience negative cash flows, our existing cash and cash equivalents balances may be reduced, and we may be required to reduce capital expenditures, or make other changes to our operating structure, all of which could have a material adverse effect on our business.</w:t>
      </w:r>
    </w:p>
    <w:p>
      <w:pPr>
        <w:spacing w:after="0" w:line="187"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Management assessed our ability to continue as a going concern and evaluated whether there are certain conditions and events that raise substantial doubt about our ability to continue as a going concern using all information available about the future. Given our current liquidity position, including the Secured Convertible Note, and historical operating losses, we believe there is substantial doubt that we can continue as a going concern. Substantial doubt about an entity’s ability to continue as a going concern exists when conditions and events, considered in the aggregate, indicate that it is probable that the entity will be unable to meet its obligations as they become due within one year after the date that the financial statements are issued.</w:t>
      </w:r>
    </w:p>
    <w:p>
      <w:pPr>
        <w:spacing w:after="0" w:line="18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have, however, prepared the Condensed Consolidated Financial Statements included elsewhere in this Report on a going concern basis, assuming that our financial resources will be sufficient to meet our capital needs over the next twelve months. Accordingly, our Condensed Consolidated Financial Statements contemplate the realization of assets and satisfaction of liabilities and commitments in the ordinary course of business and do not include adjustments relating to the recoverability and realization of assets and classification of liabilities that might be necessary should we be unable to continue in operation. If we cannot continue as a going concern, adjustments to the carrying values and classification of our assets and liabilities and the reported amounts of income and expenses could be required and could be material. Despite substantial doubt that we will be able to continue as a going concern, we are continuing to take actions to secure sufficient financing (as described below) and thus believe that the application of the going concern assumption for the preparation of the Condensed Consolidated Financial Statements is appropriate.</w:t>
      </w:r>
    </w:p>
    <w:p>
      <w:pPr>
        <w:spacing w:after="0" w:line="185"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In an effort to address our ability to continue as a going concern, we continue to seek and evaluate additional opportunities to raise capital through the issuance of equity or debt, or a combination of both, such as the Secured Convertible Notes, the Share Purchase Agreement and the Amended Sales Agreement, as well as evaluating other strategic alternatives. Until such time that we can generate revenue sufficient to achieve profitability, we expect to finance our operations through equity or debt financings, which may not be available to us on the timing needed, on terms that the Company deems to be favorable or at all. To the extent that we raise additional capital through the sale of equity or convertible debt securities, the ownership interest of our stockholders may be diluted, and the terms of these securities may include liquidation or other preferences that adversely affect the rights of common stockholders. Debt financing and equity financing, if available, may involve agreements that include covenants limiting or restricting our ability to take specific actions, such as incurring additional debt, making acquisitions or capital expenditures or declaring dividends. If we are unable to obtain sufficient financial resources, our business, financial condition and results of operations will be materially and adversely affected. There can be no assurance that we will be able to obtain the needed financing on acceptable terms or at all. See “Risk Factors—There is substantial doubt about our ability to continue as a going concern” of our 2024 Annual Report for additional information.</w:t>
      </w:r>
    </w:p>
    <w:p>
      <w:pPr>
        <w:spacing w:after="0" w:line="19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Additionally, we are an early-stage growth company and subject to a number of risks associated with emerging, technology-oriented companies with a limited operating history, including, but not limited to, dependence on key individuals, a developing business model, key customers, initial and continued market acceptance of our services and protection of our proprietary technology. Our sales efforts involve considerable time and expense, and our sales cycle is long and unpredictable. We also have risks from competition from substitute products and services. All of these risks, as well as the risks included in Part I, Item 1A. Risk Factors included in our 2024 Annual Report, could have an adverse impact on our business and financial prospects and cause us to seek additional financing to fund future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41" w:name="page42"/>
    <w:bookmarkEnd w:id="41"/>
    <w:p>
      <w:pPr>
        <w:ind w:left="480"/>
        <w:spacing w:after="0"/>
        <w:rPr>
          <w:sz w:val="20"/>
          <w:szCs w:val="20"/>
          <w:color w:val="auto"/>
        </w:rPr>
      </w:pPr>
      <w:r>
        <w:rPr>
          <w:rFonts w:ascii="Times New Roman" w:cs="Times New Roman" w:eastAsia="Times New Roman" w:hAnsi="Times New Roman"/>
          <w:sz w:val="18"/>
          <w:szCs w:val="18"/>
          <w:b w:val="1"/>
          <w:bCs w:val="1"/>
          <w:color w:val="auto"/>
        </w:rPr>
        <w:t>Cash Flows Summary</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cash flow information for the three months ended March 31, 2025 and 2024.</w:t>
      </w:r>
    </w:p>
    <w:p>
      <w:pPr>
        <w:spacing w:after="0" w:line="253"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flows: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flows used in operating activities</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ind w:left="583"/>
              <w:spacing w:after="0"/>
              <w:rPr>
                <w:sz w:val="20"/>
                <w:szCs w:val="20"/>
                <w:color w:val="auto"/>
              </w:rPr>
            </w:pPr>
            <w:r>
              <w:rPr>
                <w:rFonts w:ascii="Times New Roman" w:cs="Times New Roman" w:eastAsia="Times New Roman" w:hAnsi="Times New Roman"/>
                <w:sz w:val="16"/>
                <w:szCs w:val="16"/>
                <w:color w:val="auto"/>
                <w:w w:val="98"/>
              </w:rPr>
              <w:t>(4,722)</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583"/>
              <w:spacing w:after="0"/>
              <w:rPr>
                <w:sz w:val="20"/>
                <w:szCs w:val="20"/>
                <w:color w:val="auto"/>
              </w:rPr>
            </w:pPr>
            <w:r>
              <w:rPr>
                <w:rFonts w:ascii="Times New Roman" w:cs="Times New Roman" w:eastAsia="Times New Roman" w:hAnsi="Times New Roman"/>
                <w:sz w:val="16"/>
                <w:szCs w:val="16"/>
                <w:color w:val="auto"/>
                <w:w w:val="98"/>
              </w:rPr>
              <w:t>(1,913)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603"/>
              <w:spacing w:after="0"/>
              <w:rPr>
                <w:sz w:val="20"/>
                <w:szCs w:val="20"/>
                <w:color w:val="auto"/>
              </w:rPr>
            </w:pPr>
            <w:r>
              <w:rPr>
                <w:rFonts w:ascii="Times New Roman" w:cs="Times New Roman" w:eastAsia="Times New Roman" w:hAnsi="Times New Roman"/>
                <w:sz w:val="16"/>
                <w:szCs w:val="16"/>
                <w:color w:val="auto"/>
                <w:w w:val="99"/>
              </w:rPr>
              <w:t>1,684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center"/>
              <w:ind w:left="583"/>
              <w:spacing w:after="0"/>
              <w:rPr>
                <w:sz w:val="20"/>
                <w:szCs w:val="20"/>
                <w:color w:val="auto"/>
              </w:rPr>
            </w:pPr>
            <w:r>
              <w:rPr>
                <w:rFonts w:ascii="Times New Roman" w:cs="Times New Roman" w:eastAsia="Times New Roman" w:hAnsi="Times New Roman"/>
                <w:sz w:val="16"/>
                <w:szCs w:val="16"/>
                <w:b w:val="1"/>
                <w:bCs w:val="1"/>
                <w:color w:val="auto"/>
                <w:w w:val="98"/>
              </w:rPr>
              <w:t>(4,951)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16" w:lineRule="exact"/>
        <w:rPr>
          <w:sz w:val="20"/>
          <w:szCs w:val="20"/>
          <w:color w:val="auto"/>
        </w:rPr>
      </w:pPr>
    </w:p>
    <w:p>
      <w:pPr>
        <w:jc w:val="both"/>
        <w:ind w:right="100" w:firstLine="479"/>
        <w:spacing w:after="0" w:line="261" w:lineRule="auto"/>
        <w:rPr>
          <w:sz w:val="20"/>
          <w:szCs w:val="20"/>
          <w:color w:val="auto"/>
        </w:rPr>
      </w:pPr>
      <w:r>
        <w:rPr>
          <w:rFonts w:ascii="Times New Roman" w:cs="Times New Roman" w:eastAsia="Times New Roman" w:hAnsi="Times New Roman"/>
          <w:sz w:val="18"/>
          <w:szCs w:val="18"/>
          <w:color w:val="auto"/>
        </w:rPr>
        <w:t>The cash flows used in operating activities to date have been primarily comprised of costs and expenses related to development of our products, payroll, fluctuations in accounts payable and other current assets and liabilities. As we continue to expand our commercial operations, we anticipate our cash used in operating activities will remain elevated until we begin to generate material cash flows from the business.</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flows used in operating activities are as follows:</w:t>
      </w:r>
    </w:p>
    <w:p>
      <w:pPr>
        <w:spacing w:after="0" w:line="26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0" w:type="dxa"/>
            <w:vAlign w:val="bottom"/>
          </w:tcPr>
          <w:p>
            <w:pPr>
              <w:spacing w:after="0"/>
              <w:rPr>
                <w:sz w:val="1"/>
                <w:szCs w:val="1"/>
                <w:color w:val="auto"/>
              </w:rPr>
            </w:pPr>
          </w:p>
        </w:tc>
      </w:tr>
      <w:tr>
        <w:trPr>
          <w:trHeight w:val="226"/>
        </w:trPr>
        <w:tc>
          <w:tcPr>
            <w:tcW w:w="7960" w:type="dxa"/>
            <w:vAlign w:val="bottom"/>
            <w:tcBorders>
              <w:bottom w:val="single" w:sz="8" w:color="CCEEFF"/>
            </w:tcBorders>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Adjustments for the impact of non-cash items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adjusted for the impact of non-cash items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0" w:type="dxa"/>
            <w:vAlign w:val="bottom"/>
          </w:tcPr>
          <w:p>
            <w:pPr>
              <w:spacing w:after="0"/>
              <w:rPr>
                <w:sz w:val="1"/>
                <w:szCs w:val="1"/>
                <w:color w:val="auto"/>
              </w:rPr>
            </w:pPr>
          </w:p>
        </w:tc>
      </w:tr>
      <w:tr>
        <w:trPr>
          <w:trHeight w:val="22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340"/>
              <w:spacing w:after="0" w:line="226" w:lineRule="exact"/>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26"/>
        </w:trPr>
        <w:tc>
          <w:tcPr>
            <w:tcW w:w="7960" w:type="dxa"/>
            <w:vAlign w:val="bottom"/>
          </w:tcPr>
          <w:p>
            <w:pPr>
              <w:ind w:left="340"/>
              <w:spacing w:after="0" w:line="226" w:lineRule="exact"/>
              <w:rPr>
                <w:sz w:val="20"/>
                <w:szCs w:val="20"/>
                <w:color w:val="auto"/>
              </w:rPr>
            </w:pPr>
            <w:r>
              <w:rPr>
                <w:rFonts w:ascii="Times New Roman" w:cs="Times New Roman" w:eastAsia="Times New Roman" w:hAnsi="Times New Roman"/>
                <w:sz w:val="18"/>
                <w:szCs w:val="18"/>
                <w:color w:val="auto"/>
              </w:rPr>
              <w:t>Prepaid expenses and other current assets</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340"/>
              <w:spacing w:after="0" w:line="226" w:lineRule="exact"/>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26"/>
        </w:trPr>
        <w:tc>
          <w:tcPr>
            <w:tcW w:w="7960" w:type="dxa"/>
            <w:vAlign w:val="bottom"/>
            <w:tcBorders>
              <w:bottom w:val="single" w:sz="8" w:color="CCEEFF"/>
            </w:tcBorders>
          </w:tcPr>
          <w:p>
            <w:pPr>
              <w:ind w:left="340"/>
              <w:spacing w:after="0" w:line="22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(5)</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480" w:right="580" w:firstLine="6"/>
        <w:spacing w:after="0" w:line="354" w:lineRule="auto"/>
        <w:tabs>
          <w:tab w:leader="none" w:pos="627"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items such as depreciation, changes in the fair value of financial instruments, interest expense, income tax, stock-based compensation expense, expense for estimated credit losses on accounts receivable, changes in foreign currency and others.</w:t>
      </w:r>
    </w:p>
    <w:p>
      <w:pPr>
        <w:spacing w:after="0" w:line="96" w:lineRule="exact"/>
        <w:rPr>
          <w:rFonts w:ascii="Times New Roman" w:cs="Times New Roman" w:eastAsia="Times New Roman" w:hAnsi="Times New Roman"/>
          <w:sz w:val="18"/>
          <w:szCs w:val="18"/>
          <w:color w:val="auto"/>
          <w:vertAlign w:val="superscript"/>
        </w:rPr>
      </w:pPr>
    </w:p>
    <w:p>
      <w:pPr>
        <w:ind w:left="640" w:hanging="154"/>
        <w:spacing w:after="0"/>
        <w:tabs>
          <w:tab w:leader="none" w:pos="64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change is primarily due to higher accounts receivable from our commercial space technology customer.</w:t>
      </w:r>
    </w:p>
    <w:p>
      <w:pPr>
        <w:spacing w:after="0" w:line="207" w:lineRule="exact"/>
        <w:rPr>
          <w:rFonts w:ascii="Times New Roman" w:cs="Times New Roman" w:eastAsia="Times New Roman" w:hAnsi="Times New Roman"/>
          <w:sz w:val="19"/>
          <w:szCs w:val="19"/>
          <w:color w:val="auto"/>
          <w:vertAlign w:val="superscript"/>
        </w:rPr>
      </w:pPr>
    </w:p>
    <w:p>
      <w:pPr>
        <w:ind w:left="640" w:hanging="154"/>
        <w:spacing w:after="0"/>
        <w:tabs>
          <w:tab w:leader="none" w:pos="64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change is primarily due to higher prepaid expenses from software licenses and higher advances to suppliers.</w:t>
      </w:r>
    </w:p>
    <w:p>
      <w:pPr>
        <w:spacing w:after="0" w:line="207" w:lineRule="exact"/>
        <w:rPr>
          <w:rFonts w:ascii="Times New Roman" w:cs="Times New Roman" w:eastAsia="Times New Roman" w:hAnsi="Times New Roman"/>
          <w:sz w:val="19"/>
          <w:szCs w:val="19"/>
          <w:color w:val="auto"/>
          <w:vertAlign w:val="superscript"/>
        </w:rPr>
      </w:pPr>
    </w:p>
    <w:p>
      <w:pPr>
        <w:ind w:left="640" w:hanging="154"/>
        <w:spacing w:after="0"/>
        <w:tabs>
          <w:tab w:leader="none" w:pos="64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change is primarily due to the timing of payments.</w:t>
      </w:r>
    </w:p>
    <w:p>
      <w:pPr>
        <w:spacing w:after="0" w:line="207" w:lineRule="exact"/>
        <w:rPr>
          <w:rFonts w:ascii="Times New Roman" w:cs="Times New Roman" w:eastAsia="Times New Roman" w:hAnsi="Times New Roman"/>
          <w:sz w:val="19"/>
          <w:szCs w:val="19"/>
          <w:color w:val="auto"/>
          <w:vertAlign w:val="superscript"/>
        </w:rPr>
      </w:pPr>
    </w:p>
    <w:p>
      <w:pPr>
        <w:ind w:left="640" w:hanging="154"/>
        <w:spacing w:after="0"/>
        <w:tabs>
          <w:tab w:leader="none" w:pos="64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change is primarily due to timing of payments, net of an increase in contract liabilities for new revenue contracts.</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16" w:lineRule="exact"/>
        <w:rPr>
          <w:sz w:val="20"/>
          <w:szCs w:val="20"/>
          <w:color w:val="auto"/>
        </w:rPr>
      </w:pPr>
    </w:p>
    <w:p>
      <w:pPr>
        <w:jc w:val="both"/>
        <w:ind w:right="100" w:firstLine="479"/>
        <w:spacing w:after="0" w:line="261" w:lineRule="auto"/>
        <w:rPr>
          <w:sz w:val="20"/>
          <w:szCs w:val="20"/>
          <w:color w:val="auto"/>
        </w:rPr>
      </w:pPr>
      <w:r>
        <w:rPr>
          <w:rFonts w:ascii="Times New Roman" w:cs="Times New Roman" w:eastAsia="Times New Roman" w:hAnsi="Times New Roman"/>
          <w:sz w:val="18"/>
          <w:szCs w:val="18"/>
          <w:color w:val="auto"/>
        </w:rPr>
        <w:t>Our cash flows used in investing activities to date have been primarily comprised of purchases of satellite components and other property and equipment. Investing activities have increased substantially as we ramped up satellite production activity and factory development in connection with expanding our production capacity.</w:t>
      </w:r>
    </w:p>
    <w:p>
      <w:pPr>
        <w:spacing w:after="0" w:line="177" w:lineRule="exact"/>
        <w:rPr>
          <w:sz w:val="20"/>
          <w:szCs w:val="20"/>
          <w:color w:val="auto"/>
        </w:rPr>
      </w:pPr>
    </w:p>
    <w:p>
      <w:pPr>
        <w:jc w:val="both"/>
        <w:ind w:right="100" w:firstLine="479"/>
        <w:spacing w:after="0" w:line="276" w:lineRule="auto"/>
        <w:rPr>
          <w:sz w:val="20"/>
          <w:szCs w:val="20"/>
          <w:color w:val="auto"/>
        </w:rPr>
      </w:pPr>
      <w:r>
        <w:rPr>
          <w:rFonts w:ascii="Times New Roman" w:cs="Times New Roman" w:eastAsia="Times New Roman" w:hAnsi="Times New Roman"/>
          <w:sz w:val="18"/>
          <w:szCs w:val="18"/>
          <w:color w:val="auto"/>
        </w:rPr>
        <w:t>Net cash used in investing activities $1.9 million for the three months ended March 31, 2025, was flat compared to $1.9 million for the three months ended March 31, 2024. Cash control measures implemented in 2023 limited the number of launches in both periods.</w:t>
      </w: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31" w:right="239" w:bottom="1440" w:gutter="0" w:footer="0" w:header="0"/>
        </w:sectPr>
      </w:pPr>
    </w:p>
    <w:bookmarkStart w:id="42" w:name="page43"/>
    <w:bookmarkEnd w:id="42"/>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Financing Activities</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$1.7 million for the three months ended March 31, 2025 compared to net cash used in financing activities of $0.2 million for the three months ended March 31, 2024, which resulted primarily from proceeds from stock issuances under the ATM Program and proceeds from exercise of stock options in the three months ended March 31, 2025, as discussed above.</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Refer to Note 15 (Secured Convertible Notes) to the Condensed Consolidated Financial Statements for a discussion of our debt at March 31, 2025 and December 31, 2024.</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34" w:lineRule="exact"/>
        <w:rPr>
          <w:sz w:val="20"/>
          <w:szCs w:val="20"/>
          <w:color w:val="auto"/>
        </w:rPr>
      </w:pPr>
    </w:p>
    <w:p>
      <w:pPr>
        <w:jc w:val="both"/>
        <w:ind w:firstLine="479"/>
        <w:spacing w:after="0" w:line="237"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which have been prepared in accordance with U.S. GAAP. The preparation of our unaudited condensed consolidated financial statements and related disclosures requires us to make estimates, assumptions and judgments that affect the reported amounts of assets, liabilities, revenues, costs and expenses and related disclosures. The accounting policies that have been identified as critical to our business operations and to understanding the results of our operations pertain to revenue recognition, impairment of assets, fair value of financial instruments, and income taxes. Actual results may differ materially from these estimates under different assumptions and conditions.</w:t>
      </w:r>
    </w:p>
    <w:p>
      <w:pPr>
        <w:spacing w:after="0" w:line="211" w:lineRule="exact"/>
        <w:rPr>
          <w:sz w:val="20"/>
          <w:szCs w:val="20"/>
          <w:color w:val="auto"/>
        </w:rPr>
      </w:pPr>
    </w:p>
    <w:p>
      <w:pPr>
        <w:jc w:val="both"/>
        <w:ind w:firstLine="479"/>
        <w:spacing w:after="0" w:line="238"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three months ended March 31, 2025. For more information, the application of each of these critical accounting policies and estimates is discussed in Part II, Item 7, “Management’s Discussion and Analysis of Financial Condition and Results of Operations” of our 2024 Annual Report.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1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expect to remain an emerging growth company at least through the end of the 2025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PCAOB regarding mandatory audit firm rotation or a supplement to the auditor’s report providing additional information about the audit and the financial statements (auditor discussion and analysis).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will also rely on certain reduced reporting and other requirements that are otherwise generally applicable to public companies.</w:t>
      </w:r>
    </w:p>
    <w:p>
      <w:pPr>
        <w:spacing w:after="0" w:line="246"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Item 10(f)(1) of Regulation S-K,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4" w:lineRule="exact"/>
        <w:rPr>
          <w:sz w:val="20"/>
          <w:szCs w:val="20"/>
          <w:color w:val="auto"/>
        </w:rPr>
      </w:pPr>
    </w:p>
    <w:p>
      <w:pPr>
        <w:jc w:val="both"/>
        <w:ind w:right="20" w:firstLine="479"/>
        <w:spacing w:after="0" w:line="261" w:lineRule="auto"/>
        <w:rPr>
          <w:sz w:val="20"/>
          <w:szCs w:val="20"/>
          <w:color w:val="auto"/>
        </w:rPr>
      </w:pPr>
      <w:r>
        <w:rPr>
          <w:rFonts w:ascii="Times New Roman" w:cs="Times New Roman" w:eastAsia="Times New Roman" w:hAnsi="Times New Roman"/>
          <w:sz w:val="18"/>
          <w:szCs w:val="18"/>
          <w:color w:val="auto"/>
        </w:rPr>
        <w:t>Refer to Note 3 (Accounting Standards Updates) in the Condensed Consolidated Financial Statements included in this Report for more information about recent accounting pronouncements, the timing of their adoption and our assessment, to the extent we have made such an assessment, of their potential impact on our financial condition and our results of operations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4"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end of the period covered by this Report, our CEO and CFO carried out an evaluation of the effectiveness of our disclosure controls and procedures.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this evaluation, our CEO and CFO concluded that our disclosure controls and procedures were effective as of March 31, 2025.</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1"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During the quarter ended March 31, 2025, there have been no changes made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1"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It is possible that 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However, we do not believe any claims, lawsuits, or proceedings currently pending, individually or in the aggregate, if adversely determined, would be material to our business or likely to result in a material adverse effect on our business, financial condition, and results of operations.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2024 Annual Report.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4" w:lineRule="exact"/>
        <w:rPr>
          <w:sz w:val="20"/>
          <w:szCs w:val="20"/>
          <w:color w:val="auto"/>
        </w:rPr>
      </w:pPr>
    </w:p>
    <w:p>
      <w:pPr>
        <w:jc w:val="both"/>
        <w:ind w:firstLine="479"/>
        <w:spacing w:after="0" w:line="238" w:lineRule="auto"/>
        <w:rPr>
          <w:sz w:val="20"/>
          <w:szCs w:val="20"/>
          <w:color w:val="auto"/>
        </w:rPr>
      </w:pPr>
      <w:r>
        <w:rPr>
          <w:rFonts w:ascii="Times New Roman" w:cs="Times New Roman" w:eastAsia="Times New Roman" w:hAnsi="Times New Roman"/>
          <w:sz w:val="18"/>
          <w:szCs w:val="18"/>
          <w:color w:val="auto"/>
        </w:rPr>
        <w:t>During the quarter ended March 31, 2025,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5" w:name="page46"/>
    <w:bookmarkEnd w:id="45"/>
    <w:p>
      <w:pPr>
        <w:ind w:left="200"/>
        <w:spacing w:after="0"/>
        <w:tabs>
          <w:tab w:leader="none" w:pos="584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7"/>
          <w:szCs w:val="17"/>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440"/>
          </w:cols>
          <w:pgMar w:left="340" w:top="1173" w:right="1119" w:bottom="1440" w:gutter="0" w:footer="0" w:header="0"/>
        </w:sectPr>
      </w:pP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6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70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1980" w:type="dxa"/>
            <w:vAlign w:val="bottom"/>
          </w:tcPr>
          <w:p>
            <w:pPr>
              <w:spacing w:after="0"/>
              <w:rPr>
                <w:sz w:val="22"/>
                <w:szCs w:val="22"/>
                <w:color w:val="auto"/>
              </w:rPr>
            </w:pPr>
          </w:p>
        </w:tc>
      </w:tr>
      <w:tr>
        <w:trPr>
          <w:trHeight w:val="26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r>
      <w:tr>
        <w:trPr>
          <w:trHeight w:val="26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70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1980" w:type="dxa"/>
            <w:vAlign w:val="bottom"/>
          </w:tcPr>
          <w:p>
            <w:pPr>
              <w:spacing w:after="0"/>
              <w:rPr>
                <w:sz w:val="22"/>
                <w:szCs w:val="22"/>
                <w:color w:val="auto"/>
              </w:rPr>
            </w:pPr>
          </w:p>
        </w:tc>
      </w:tr>
      <w:tr>
        <w:trPr>
          <w:trHeight w:val="24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Inline XBRL Instance Document - the instance document does not appear in the Interactive Data File because its XBRL tags are</w:t>
            </w:r>
          </w:p>
        </w:tc>
      </w:tr>
      <w:tr>
        <w:trPr>
          <w:trHeight w:val="232"/>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47" w:lineRule="exact"/>
        <w:rPr>
          <w:sz w:val="20"/>
          <w:szCs w:val="20"/>
          <w:color w:val="auto"/>
        </w:rPr>
      </w:pPr>
    </w:p>
    <w:p>
      <w:pPr>
        <w:ind w:left="1340" w:hanging="1336"/>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70485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440"/>
          </w:cols>
          <w:pgMar w:left="340" w:top="1173" w:right="111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right="20" w:firstLine="479"/>
        <w:spacing w:after="0" w:line="27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2025</w:t>
      </w:r>
    </w:p>
    <w:p>
      <w:pPr>
        <w:spacing w:after="0" w:line="25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SATELLOGIC INC.</w:t>
      </w:r>
    </w:p>
    <w:p>
      <w:pPr>
        <w:spacing w:after="0" w:line="286" w:lineRule="exact"/>
        <w:rPr>
          <w:sz w:val="20"/>
          <w:szCs w:val="20"/>
          <w:color w:val="auto"/>
        </w:rPr>
      </w:pPr>
    </w:p>
    <w:tbl>
      <w:tblPr>
        <w:tblLayout w:type="fixed"/>
        <w:tblInd w:w="5660" w:type="dxa"/>
        <w:tblCellMar>
          <w:top w:w="0" w:type="dxa"/>
          <w:left w:w="0" w:type="dxa"/>
          <w:bottom w:w="0" w:type="dxa"/>
          <w:right w:w="0" w:type="dxa"/>
        </w:tblCellMar>
      </w:tblPr>
      <w:tr>
        <w:trPr>
          <w:trHeight w:val="23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Rick Dunn</w:t>
            </w:r>
          </w:p>
        </w:tc>
      </w:tr>
      <w:tr>
        <w:trPr>
          <w:trHeight w:val="21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Dunn</w:t>
            </w:r>
          </w:p>
        </w:tc>
      </w:tr>
      <w:tr>
        <w:trPr>
          <w:trHeight w:val="2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3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Emiliano Kargieman, certify that:</w:t>
      </w:r>
    </w:p>
    <w:p>
      <w:pPr>
        <w:spacing w:after="0" w:line="126" w:lineRule="exact"/>
        <w:rPr>
          <w:sz w:val="20"/>
          <w:szCs w:val="20"/>
          <w:color w:val="auto"/>
        </w:rPr>
      </w:pPr>
    </w:p>
    <w:p>
      <w:pPr>
        <w:ind w:left="480" w:hanging="474"/>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Satellogic Inc.;</w:t>
      </w:r>
    </w:p>
    <w:p>
      <w:pPr>
        <w:spacing w:after="0" w:line="139" w:lineRule="exact"/>
        <w:rPr>
          <w:rFonts w:ascii="Times New Roman" w:cs="Times New Roman" w:eastAsia="Times New Roman" w:hAnsi="Times New Roman"/>
          <w:sz w:val="18"/>
          <w:szCs w:val="18"/>
          <w:color w:val="auto"/>
        </w:rPr>
      </w:pPr>
    </w:p>
    <w:p>
      <w:pPr>
        <w:jc w:val="both"/>
        <w:ind w:left="480" w:right="440" w:hanging="474"/>
        <w:spacing w:after="0" w:line="261"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8"/>
          <w:szCs w:val="18"/>
          <w:color w:val="auto"/>
        </w:rPr>
      </w:pPr>
    </w:p>
    <w:p>
      <w:pPr>
        <w:ind w:left="480" w:right="400" w:hanging="474"/>
        <w:spacing w:after="0" w:line="276"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Times New Roman" w:cs="Times New Roman" w:eastAsia="Times New Roman" w:hAnsi="Times New Roman"/>
          <w:sz w:val="18"/>
          <w:szCs w:val="18"/>
          <w:color w:val="auto"/>
        </w:rPr>
      </w:pPr>
    </w:p>
    <w:p>
      <w:pPr>
        <w:ind w:left="480" w:right="20" w:hanging="474"/>
        <w:spacing w:after="0" w:line="261"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8"/>
          <w:szCs w:val="18"/>
          <w:color w:val="auto"/>
        </w:rPr>
      </w:pPr>
    </w:p>
    <w:p>
      <w:pPr>
        <w:ind w:left="1120" w:right="60" w:hanging="475"/>
        <w:spacing w:after="0" w:line="261" w:lineRule="auto"/>
        <w:tabs>
          <w:tab w:leader="none" w:pos="11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120" w:hanging="475"/>
        <w:spacing w:after="0"/>
        <w:tabs>
          <w:tab w:leader="none" w:pos="11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45" w:lineRule="exact"/>
        <w:rPr>
          <w:rFonts w:ascii="Times New Roman" w:cs="Times New Roman" w:eastAsia="Times New Roman" w:hAnsi="Times New Roman"/>
          <w:sz w:val="18"/>
          <w:szCs w:val="18"/>
          <w:color w:val="auto"/>
        </w:rPr>
      </w:pPr>
    </w:p>
    <w:p>
      <w:pPr>
        <w:jc w:val="both"/>
        <w:ind w:left="1120" w:right="520" w:hanging="475"/>
        <w:spacing w:after="0" w:line="306" w:lineRule="auto"/>
        <w:tabs>
          <w:tab w:leader="none" w:pos="11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7"/>
          <w:szCs w:val="17"/>
          <w:color w:val="auto"/>
        </w:rPr>
      </w:pPr>
    </w:p>
    <w:p>
      <w:pPr>
        <w:ind w:left="1120" w:right="60" w:hanging="475"/>
        <w:spacing w:after="0" w:line="261" w:lineRule="auto"/>
        <w:tabs>
          <w:tab w:leader="none" w:pos="11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8"/>
          <w:szCs w:val="18"/>
          <w:color w:val="auto"/>
        </w:rPr>
      </w:pPr>
    </w:p>
    <w:p>
      <w:pPr>
        <w:ind w:left="480" w:right="320" w:hanging="474"/>
        <w:spacing w:after="0" w:line="276"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Times New Roman" w:cs="Times New Roman" w:eastAsia="Times New Roman" w:hAnsi="Times New Roman"/>
          <w:sz w:val="18"/>
          <w:szCs w:val="18"/>
          <w:color w:val="auto"/>
        </w:rPr>
      </w:pPr>
    </w:p>
    <w:p>
      <w:pPr>
        <w:ind w:left="1120" w:right="760" w:hanging="475"/>
        <w:spacing w:after="0" w:line="306" w:lineRule="auto"/>
        <w:tabs>
          <w:tab w:leader="none" w:pos="11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1120" w:right="460" w:hanging="475"/>
        <w:spacing w:after="0" w:line="276" w:lineRule="auto"/>
        <w:tabs>
          <w:tab w:leader="none" w:pos="11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13, 2025</w:t>
      </w:r>
    </w:p>
    <w:p>
      <w:pPr>
        <w:spacing w:after="0" w:line="312" w:lineRule="exact"/>
        <w:rPr>
          <w:sz w:val="20"/>
          <w:szCs w:val="20"/>
          <w:color w:val="auto"/>
        </w:rPr>
      </w:pPr>
    </w:p>
    <w:tbl>
      <w:tblPr>
        <w:tblLayout w:type="fixed"/>
        <w:tblInd w:w="5500" w:type="dxa"/>
        <w:tblCellMar>
          <w:top w:w="0" w:type="dxa"/>
          <w:left w:w="0" w:type="dxa"/>
          <w:bottom w:w="0" w:type="dxa"/>
          <w:right w:w="0" w:type="dxa"/>
        </w:tblCellMar>
      </w:tblP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Emiliano Kargieman</w:t>
            </w:r>
          </w:p>
        </w:tc>
      </w:tr>
      <w:tr>
        <w:trPr>
          <w:trHeight w:val="215"/>
        </w:trPr>
        <w:tc>
          <w:tcPr>
            <w:tcW w:w="11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Emiliano Kargieman</w:t>
            </w:r>
          </w:p>
        </w:tc>
      </w:tr>
      <w:tr>
        <w:trPr>
          <w:trHeight w:val="232"/>
        </w:trPr>
        <w:tc>
          <w:tcPr>
            <w:tcW w:w="11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3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Rick Dunn, certify that:</w:t>
      </w:r>
    </w:p>
    <w:p>
      <w:pPr>
        <w:spacing w:after="0" w:line="126" w:lineRule="exact"/>
        <w:rPr>
          <w:sz w:val="20"/>
          <w:szCs w:val="20"/>
          <w:color w:val="auto"/>
        </w:rPr>
      </w:pPr>
    </w:p>
    <w:p>
      <w:pPr>
        <w:ind w:left="620" w:hanging="314"/>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Satellogic Inc.;</w:t>
      </w:r>
    </w:p>
    <w:p>
      <w:pPr>
        <w:spacing w:after="0" w:line="139" w:lineRule="exact"/>
        <w:rPr>
          <w:rFonts w:ascii="Times New Roman" w:cs="Times New Roman" w:eastAsia="Times New Roman" w:hAnsi="Times New Roman"/>
          <w:sz w:val="18"/>
          <w:szCs w:val="18"/>
          <w:color w:val="auto"/>
        </w:rPr>
      </w:pPr>
    </w:p>
    <w:p>
      <w:pPr>
        <w:jc w:val="both"/>
        <w:ind w:left="620" w:right="280" w:hanging="314"/>
        <w:spacing w:after="0" w:line="261"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8"/>
          <w:szCs w:val="18"/>
          <w:color w:val="auto"/>
        </w:rPr>
      </w:pPr>
    </w:p>
    <w:p>
      <w:pPr>
        <w:ind w:left="620" w:right="240" w:hanging="314"/>
        <w:spacing w:after="0" w:line="276"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Times New Roman" w:cs="Times New Roman" w:eastAsia="Times New Roman" w:hAnsi="Times New Roman"/>
          <w:sz w:val="18"/>
          <w:szCs w:val="18"/>
          <w:color w:val="auto"/>
        </w:rPr>
      </w:pPr>
    </w:p>
    <w:p>
      <w:pPr>
        <w:ind w:left="620" w:right="260" w:hanging="314"/>
        <w:spacing w:after="0" w:line="261"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8"/>
          <w:szCs w:val="18"/>
          <w:color w:val="auto"/>
        </w:rPr>
      </w:pPr>
    </w:p>
    <w:p>
      <w:pPr>
        <w:ind w:left="1260" w:right="80" w:hanging="315"/>
        <w:spacing w:after="0" w:line="261" w:lineRule="auto"/>
        <w:tabs>
          <w:tab w:leader="none" w:pos="12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Times New Roman" w:cs="Times New Roman" w:eastAsia="Times New Roman" w:hAnsi="Times New Roman"/>
          <w:sz w:val="18"/>
          <w:szCs w:val="18"/>
          <w:color w:val="auto"/>
        </w:rPr>
      </w:pPr>
    </w:p>
    <w:p>
      <w:pPr>
        <w:ind w:left="1260" w:hanging="315"/>
        <w:spacing w:after="0"/>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25" w:lineRule="exact"/>
        <w:rPr>
          <w:rFonts w:ascii="Times New Roman" w:cs="Times New Roman" w:eastAsia="Times New Roman" w:hAnsi="Times New Roman"/>
          <w:sz w:val="18"/>
          <w:szCs w:val="18"/>
          <w:color w:val="auto"/>
        </w:rPr>
      </w:pPr>
    </w:p>
    <w:p>
      <w:pPr>
        <w:jc w:val="both"/>
        <w:ind w:left="1260" w:right="360" w:hanging="315"/>
        <w:spacing w:after="0" w:line="306" w:lineRule="auto"/>
        <w:tabs>
          <w:tab w:leader="none" w:pos="125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7"/>
          <w:szCs w:val="17"/>
          <w:color w:val="auto"/>
        </w:rPr>
      </w:pPr>
    </w:p>
    <w:p>
      <w:pPr>
        <w:jc w:val="both"/>
        <w:ind w:left="1260" w:right="320" w:hanging="315"/>
        <w:spacing w:after="0" w:line="261" w:lineRule="auto"/>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3" w:lineRule="exact"/>
        <w:rPr>
          <w:rFonts w:ascii="Times New Roman" w:cs="Times New Roman" w:eastAsia="Times New Roman" w:hAnsi="Times New Roman"/>
          <w:sz w:val="18"/>
          <w:szCs w:val="18"/>
          <w:color w:val="auto"/>
        </w:rPr>
      </w:pPr>
    </w:p>
    <w:p>
      <w:pPr>
        <w:ind w:left="620" w:right="160" w:hanging="314"/>
        <w:spacing w:after="0" w:line="276"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Times New Roman" w:cs="Times New Roman" w:eastAsia="Times New Roman" w:hAnsi="Times New Roman"/>
          <w:sz w:val="18"/>
          <w:szCs w:val="18"/>
          <w:color w:val="auto"/>
        </w:rPr>
      </w:pPr>
    </w:p>
    <w:p>
      <w:pPr>
        <w:ind w:left="1260" w:right="620" w:hanging="315"/>
        <w:spacing w:after="0" w:line="306" w:lineRule="auto"/>
        <w:tabs>
          <w:tab w:leader="none" w:pos="125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7"/>
          <w:szCs w:val="17"/>
          <w:color w:val="auto"/>
        </w:rPr>
      </w:pPr>
    </w:p>
    <w:p>
      <w:pPr>
        <w:ind w:left="1260" w:right="300" w:hanging="315"/>
        <w:spacing w:after="0" w:line="276" w:lineRule="auto"/>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312" w:lineRule="exact"/>
        <w:rPr>
          <w:sz w:val="20"/>
          <w:szCs w:val="20"/>
          <w:color w:val="auto"/>
        </w:rPr>
      </w:pPr>
    </w:p>
    <w:tbl>
      <w:tblPr>
        <w:tblLayout w:type="fixed"/>
        <w:tblInd w:w="5080" w:type="dxa"/>
        <w:tblCellMar>
          <w:top w:w="0" w:type="dxa"/>
          <w:left w:w="0" w:type="dxa"/>
          <w:bottom w:w="0" w:type="dxa"/>
          <w:right w:w="0" w:type="dxa"/>
        </w:tblCellMar>
      </w:tblP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Rick Dunn</w:t>
            </w:r>
          </w:p>
        </w:tc>
      </w:tr>
      <w:tr>
        <w:trPr>
          <w:trHeight w:val="215"/>
        </w:trPr>
        <w:tc>
          <w:tcPr>
            <w:tcW w:w="11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Dunn</w:t>
            </w:r>
          </w:p>
        </w:tc>
      </w:tr>
      <w:tr>
        <w:trPr>
          <w:trHeight w:val="232"/>
        </w:trPr>
        <w:tc>
          <w:tcPr>
            <w:tcW w:w="11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40" w:top="91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7" w:lineRule="exact"/>
        <w:rPr>
          <w:sz w:val="20"/>
          <w:szCs w:val="20"/>
          <w:color w:val="auto"/>
        </w:rPr>
      </w:pPr>
    </w:p>
    <w:p>
      <w:pPr>
        <w:ind w:left="300" w:right="80"/>
        <w:spacing w:after="0" w:line="276" w:lineRule="auto"/>
        <w:rPr>
          <w:sz w:val="20"/>
          <w:szCs w:val="20"/>
          <w:color w:val="auto"/>
        </w:rPr>
      </w:pPr>
      <w:r>
        <w:rPr>
          <w:rFonts w:ascii="Times New Roman" w:cs="Times New Roman" w:eastAsia="Times New Roman" w:hAnsi="Times New Roman"/>
          <w:sz w:val="18"/>
          <w:szCs w:val="18"/>
          <w:color w:val="auto"/>
        </w:rPr>
        <w:t>I, Emiliano Kargieman, Chief Executive Officer of Satellogic Inc. (the “Company”), certify, pursuant to Section 906 of the Sarbanes-Oxley Act of 2002, 18 U.S.C. Section 1350, that:</w:t>
      </w:r>
    </w:p>
    <w:p>
      <w:pPr>
        <w:spacing w:after="0" w:line="83" w:lineRule="exact"/>
        <w:rPr>
          <w:sz w:val="20"/>
          <w:szCs w:val="20"/>
          <w:color w:val="auto"/>
        </w:rPr>
      </w:pPr>
    </w:p>
    <w:p>
      <w:pPr>
        <w:ind w:left="620" w:right="360" w:hanging="314"/>
        <w:spacing w:after="0" w:line="276"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Form 10-Q of the Company for the quarterly period ended March 31, 2025 (the “Report”) fully complies with the requirements of Section 13(a) of the Securities Exchange Act of 1934 (15 U.S.C. 78m); and</w:t>
      </w:r>
    </w:p>
    <w:p>
      <w:pPr>
        <w:spacing w:after="0" w:line="69" w:lineRule="exact"/>
        <w:rPr>
          <w:rFonts w:ascii="Times New Roman" w:cs="Times New Roman" w:eastAsia="Times New Roman" w:hAnsi="Times New Roman"/>
          <w:sz w:val="18"/>
          <w:szCs w:val="18"/>
          <w:color w:val="auto"/>
        </w:rPr>
      </w:pPr>
    </w:p>
    <w:p>
      <w:pPr>
        <w:ind w:left="620" w:hanging="314"/>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31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Emiliano Kargieman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15240</wp:posOffset>
            </wp:positionV>
            <wp:extent cx="29330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1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Emiliano Kargieman</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20"/>
          </w:cols>
          <w:pgMar w:left="340" w:top="113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 Rick Dunn, Chief Financial Officer of Satellogic Inc. (the “Company”), certify, pursuant to Section 906 of the Sarbanes-Oxley Act of 2002, 18 U.S.C.</w:t>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1350, that:</w:t>
      </w:r>
    </w:p>
    <w:p>
      <w:pPr>
        <w:spacing w:after="0" w:line="120" w:lineRule="exact"/>
        <w:rPr>
          <w:sz w:val="20"/>
          <w:szCs w:val="20"/>
          <w:color w:val="auto"/>
        </w:rPr>
      </w:pPr>
    </w:p>
    <w:p>
      <w:pPr>
        <w:ind w:left="620" w:right="360" w:hanging="314"/>
        <w:spacing w:after="0" w:line="276"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Form 10-Q of the Company for the quarterly period ended March 31, 2025 (the “Report”) fully complies with the requirements of Section 13(a) of the Securities Exchange Act of 1934 (15 U.S.C. 78m); and</w:t>
      </w:r>
    </w:p>
    <w:p>
      <w:pPr>
        <w:spacing w:after="0" w:line="69" w:lineRule="exact"/>
        <w:rPr>
          <w:rFonts w:ascii="Times New Roman" w:cs="Times New Roman" w:eastAsia="Times New Roman" w:hAnsi="Times New Roman"/>
          <w:sz w:val="18"/>
          <w:szCs w:val="18"/>
          <w:color w:val="auto"/>
        </w:rPr>
      </w:pPr>
    </w:p>
    <w:p>
      <w:pPr>
        <w:ind w:left="620" w:hanging="314"/>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31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Rick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24130</wp:posOffset>
            </wp:positionV>
            <wp:extent cx="29330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2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Rick Dunn</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40" w:top="1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lvl w:ilvl="1">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2025-05-13T15:27:50Z</dcterms:created>
  <dcterms:modified xsi:type="dcterms:W3CDTF">2025-05-13T15:27:50Z</dcterms:modified>
</cp:coreProperties>
</file>