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2699903.xml.htm"/>
      <w:bookmarkStart w:id="1" w:name="kswkform4_179269990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Whitworth Frank Dixon III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210 DELBURG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DAVIDSON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28036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Satellogic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SATL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41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41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10/19/2026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354,788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354,788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354,788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On October 19, 2026, Mr. Whitworth was granted 354,788 RSUs. These RSUs vest on a quarterly basis over 5 years with 5% of the total vesting on December 20, 2026, and the remaining installments vesting in 5% quarterly installments thereafter on the 20th of each quarter-end month through September 20, 2031, generally subject to continued employment through each vesting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Noah Benz, Attorney-in-fact for Frank Dixon Whitworth III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10/22/2026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52531" TargetMode="External"/><Relationship Id="rId5" Type="http://schemas.openxmlformats.org/officeDocument/2006/relationships/hyperlink" Target="http://www.sec.gov/cgi-bin/browse-edgar?action=getcompany&amp;CIK=000187431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635</Words>
  <Characters>3445</Characters>
  <CharactersWithSpaces>4008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