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6900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3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900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6900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ind w:left="4180"/>
        <w:spacing w:after="0" w:line="197" w:lineRule="auto"/>
        <w:rPr>
          <w:sz w:val="20"/>
          <w:szCs w:val="20"/>
          <w:color w:val="auto"/>
        </w:rPr>
      </w:pPr>
      <w:r>
        <w:rPr>
          <w:rFonts w:ascii="Times New Roman" w:cs="Times New Roman" w:eastAsia="Times New Roman" w:hAnsi="Times New Roman"/>
          <w:sz w:val="20"/>
          <w:szCs w:val="20"/>
          <w:b w:val="1"/>
          <w:bCs w:val="1"/>
          <w:color w:val="auto"/>
        </w:rPr>
        <w:t>Pursuant to Rule 13a-16 or 15d-16</w:t>
      </w:r>
    </w:p>
    <w:p>
      <w:pPr>
        <w:ind w:left="384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7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Date of Report: August 15, 2024</w:t>
      </w: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Commission File Number: 001-41247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8"/>
          <w:szCs w:val="38"/>
          <w:b w:val="1"/>
          <w:bCs w:val="1"/>
          <w:color w:val="auto"/>
        </w:rPr>
        <w:t>Satellogic Inc.</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Ruta 8 Km 17,500, Edificio 300</w:t>
      </w:r>
    </w:p>
    <w:p>
      <w:pPr>
        <w:jc w:val="center"/>
        <w:ind w:right="-239"/>
        <w:spacing w:after="0" w:line="197" w:lineRule="auto"/>
        <w:rPr>
          <w:sz w:val="20"/>
          <w:szCs w:val="20"/>
          <w:color w:val="auto"/>
        </w:rPr>
      </w:pPr>
      <w:r>
        <w:rPr>
          <w:rFonts w:ascii="Times New Roman" w:cs="Times New Roman" w:eastAsia="Times New Roman" w:hAnsi="Times New Roman"/>
          <w:sz w:val="20"/>
          <w:szCs w:val="20"/>
          <w:b w:val="1"/>
          <w:bCs w:val="1"/>
          <w:color w:val="auto"/>
        </w:rPr>
        <w:t>Oficina 324 Zonamérica</w:t>
      </w:r>
    </w:p>
    <w:p>
      <w:pPr>
        <w:jc w:val="center"/>
        <w:ind w:right="-239"/>
        <w:spacing w:after="0" w:line="216" w:lineRule="auto"/>
        <w:rPr>
          <w:sz w:val="20"/>
          <w:szCs w:val="20"/>
          <w:color w:val="auto"/>
        </w:rPr>
      </w:pPr>
      <w:r>
        <w:rPr>
          <w:rFonts w:ascii="Times New Roman" w:cs="Times New Roman" w:eastAsia="Times New Roman" w:hAnsi="Times New Roman"/>
          <w:sz w:val="20"/>
          <w:szCs w:val="20"/>
          <w:b w:val="1"/>
          <w:bCs w:val="1"/>
          <w:color w:val="auto"/>
        </w:rPr>
        <w:t>Montevideo, 91600, Uruguay</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Indicate by check mark whether the registrant files or will file annual reports under cover of Form 20-F or Form 40-F:</w:t>
      </w:r>
    </w:p>
    <w:p>
      <w:pPr>
        <w:spacing w:after="0" w:line="137" w:lineRule="exact"/>
        <w:rPr>
          <w:sz w:val="24"/>
          <w:szCs w:val="24"/>
          <w:color w:val="auto"/>
        </w:rPr>
      </w:pPr>
    </w:p>
    <w:p>
      <w:pPr>
        <w:spacing w:after="0" w:line="230" w:lineRule="exact"/>
        <w:tabs>
          <w:tab w:leader="none" w:pos="1320" w:val="left"/>
        </w:tabs>
        <w:rPr>
          <w:sz w:val="20"/>
          <w:szCs w:val="20"/>
          <w:color w:val="auto"/>
        </w:rPr>
      </w:pPr>
      <w:r>
        <w:rPr>
          <w:rFonts w:ascii="Times New Roman" w:cs="Times New Roman" w:eastAsia="Times New Roman" w:hAnsi="Times New Roman"/>
          <w:sz w:val="20"/>
          <w:szCs w:val="20"/>
          <w:color w:val="auto"/>
        </w:rPr>
        <w:t xml:space="preserve">Form 20-F </w:t>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Form 40-F </w:t>
      </w:r>
      <w:r>
        <w:rPr>
          <w:rFonts w:ascii="MS PGothic" w:cs="MS PGothic" w:eastAsia="MS PGothic" w:hAnsi="MS PGothic"/>
          <w:sz w:val="19"/>
          <w:szCs w:val="19"/>
          <w:color w:val="auto"/>
        </w:rPr>
        <w:t>☐</w:t>
      </w:r>
    </w:p>
    <w:p>
      <w:pPr>
        <w:spacing w:after="0" w:line="181"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submitting the Form 6-K in paper as permitted by Regulation S-T Rule 101(b)(1): </w:t>
      </w:r>
      <w:r>
        <w:rPr>
          <w:rFonts w:ascii="MS PGothic" w:cs="MS PGothic" w:eastAsia="MS PGothic" w:hAnsi="MS PGothic"/>
          <w:sz w:val="20"/>
          <w:szCs w:val="20"/>
          <w:color w:val="auto"/>
        </w:rPr>
        <w:t>☐</w:t>
      </w:r>
    </w:p>
    <w:p>
      <w:pPr>
        <w:spacing w:after="0" w:line="243"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Regulation S-T Rule 101(b)(1) only permits the submission in paper of a Form 6-K if submitted solely to provide an attached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 to security holders.</w:t>
      </w:r>
    </w:p>
    <w:p>
      <w:pPr>
        <w:spacing w:after="0" w:line="11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submitting the Form 6-K in paper as permitted by Regulation S-T Rule 101(b)(7): </w:t>
      </w:r>
      <w:r>
        <w:rPr>
          <w:rFonts w:ascii="MS PGothic" w:cs="MS PGothic" w:eastAsia="MS PGothic" w:hAnsi="MS PGothic"/>
          <w:sz w:val="20"/>
          <w:szCs w:val="20"/>
          <w:color w:val="auto"/>
        </w:rPr>
        <w:t>☐</w:t>
      </w:r>
    </w:p>
    <w:p>
      <w:pPr>
        <w:spacing w:after="0" w:line="266" w:lineRule="exact"/>
        <w:rPr>
          <w:sz w:val="24"/>
          <w:szCs w:val="24"/>
          <w:color w:val="auto"/>
        </w:rPr>
      </w:pPr>
    </w:p>
    <w:p>
      <w:pPr>
        <w:jc w:val="both"/>
        <w:ind w:left="80" w:right="200"/>
        <w:spacing w:after="0" w:line="226" w:lineRule="auto"/>
        <w:rPr>
          <w:sz w:val="20"/>
          <w:szCs w:val="20"/>
          <w:color w:val="auto"/>
        </w:rPr>
      </w:pP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Regulation S-T Rule 101(b)(7) only permits the submission in paper of a Form 6-K if submitted to furnish a report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000"/>
          </w:cols>
          <w:pgMar w:left="320" w:top="1289" w:right="5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Satellogic Inc. (“Satellogic”) is furnishing this report on Form 6-K to provide its unaudited condensed consolidated financial statements as of June 30, 2024 and December 31, 2023 and for the six months ended June 30, 2024 and 2023 and to provide Management’s Discussion and</w:t>
      </w:r>
    </w:p>
    <w:p>
      <w:pPr>
        <w:spacing w:after="0"/>
        <w:rPr>
          <w:sz w:val="20"/>
          <w:szCs w:val="20"/>
          <w:color w:val="auto"/>
        </w:rPr>
      </w:pPr>
      <w:r>
        <w:rPr>
          <w:rFonts w:ascii="Times New Roman" w:cs="Times New Roman" w:eastAsia="Times New Roman" w:hAnsi="Times New Roman"/>
          <w:sz w:val="20"/>
          <w:szCs w:val="20"/>
          <w:color w:val="auto"/>
        </w:rPr>
        <w:t>Analysis of Financial Condition and Results of Operations with respect to such financial statements.</w:t>
      </w:r>
    </w:p>
    <w:p>
      <w:pPr>
        <w:spacing w:after="0" w:line="16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unaudited condensed consolidated financial statements as of June 30, 2024 and December 31, 2023 and for the six months ended June 30, 2024 and 2023 are attached to this Form 6-K as Exhibit 99.1. Management’s Discussion and Analysis of Financial Condition and Results</w:t>
      </w:r>
    </w:p>
    <w:p>
      <w:pPr>
        <w:spacing w:after="0"/>
        <w:rPr>
          <w:sz w:val="20"/>
          <w:szCs w:val="20"/>
          <w:color w:val="auto"/>
        </w:rPr>
      </w:pPr>
      <w:r>
        <w:rPr>
          <w:rFonts w:ascii="Times New Roman" w:cs="Times New Roman" w:eastAsia="Times New Roman" w:hAnsi="Times New Roman"/>
          <w:sz w:val="20"/>
          <w:szCs w:val="20"/>
          <w:color w:val="auto"/>
        </w:rPr>
        <w:t>of Operations is attached to this Form 6-K as Exhibit 99.2.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0" w:type="dxa"/>
            <w:vAlign w:val="bottom"/>
          </w:tcPr>
          <w:p>
            <w:pPr>
              <w:spacing w:after="0"/>
              <w:rPr>
                <w:sz w:val="22"/>
                <w:szCs w:val="22"/>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4"/>
          </w:tcPr>
          <w:p>
            <w:pPr>
              <w:spacing w:after="0" w:line="196" w:lineRule="exact"/>
              <w:rPr>
                <w:sz w:val="20"/>
                <w:szCs w:val="20"/>
                <w:color w:val="auto"/>
              </w:rPr>
            </w:pPr>
            <w:r>
              <w:rPr>
                <w:rFonts w:ascii="Times New Roman" w:cs="Times New Roman" w:eastAsia="Times New Roman" w:hAnsi="Times New Roman"/>
                <w:sz w:val="20"/>
                <w:szCs w:val="20"/>
                <w:color w:val="0000FF"/>
              </w:rPr>
              <w:t>Unaudited Condensed Consolidated Financial Statements as of June 30, 2024 and December 31, 2023 and for the six months</w:t>
            </w: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20"/>
                <w:szCs w:val="20"/>
                <w:color w:val="0000FF"/>
                <w:w w:val="98"/>
              </w:rPr>
              <w:t>ended June 30, 2024 and 2023.</w:t>
            </w:r>
          </w:p>
        </w:tc>
        <w:tc>
          <w:tcPr>
            <w:tcW w:w="744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10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tcBorders>
              <w:bottom w:val="single" w:sz="8" w:color="0000FF"/>
            </w:tcBorders>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2860" w:type="dxa"/>
            <w:vAlign w:val="bottom"/>
            <w:gridSpan w:val="2"/>
          </w:tcPr>
          <w:p>
            <w:pPr>
              <w:spacing w:after="0"/>
              <w:rPr>
                <w:sz w:val="19"/>
                <w:szCs w:val="19"/>
                <w:color w:val="auto"/>
              </w:rPr>
            </w:pPr>
          </w:p>
        </w:tc>
      </w:tr>
    </w:tbl>
    <w:p>
      <w:pPr>
        <w:spacing w:after="0" w:line="45" w:lineRule="exact"/>
        <w:rPr>
          <w:sz w:val="20"/>
          <w:szCs w:val="20"/>
          <w:color w:val="auto"/>
        </w:rPr>
      </w:pPr>
    </w:p>
    <w:p>
      <w:pPr>
        <w:jc w:val="both"/>
        <w:ind w:left="1200" w:right="40" w:hanging="1174"/>
        <w:spacing w:after="0" w:line="224" w:lineRule="auto"/>
        <w:tabs>
          <w:tab w:leader="none" w:pos="120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materials from Satellogic’s Report on Form 6-K as of June 30, 2024 and December 31, 2023 and for the six months ended June 30, 2024 and 2023 formatted in XBRL (eXtensible Business Reporting Language): (i) the Condensed Consolidated Statements of Operations and Comprehensive Loss, (ii) the Condensed Consolidated Balance Sheets, (iii) the Condensed Consolidated Statements of Stockholders' Equity, (iv) the Condensed Consolidated Statements of Cash Flows, and</w:t>
      </w:r>
    </w:p>
    <w:p>
      <w:pPr>
        <w:spacing w:after="0" w:line="2" w:lineRule="exact"/>
        <w:rPr>
          <w:rFonts w:ascii="Times New Roman" w:cs="Times New Roman" w:eastAsia="Times New Roman" w:hAnsi="Times New Roman"/>
          <w:sz w:val="19"/>
          <w:szCs w:val="19"/>
          <w:color w:val="auto"/>
        </w:rPr>
      </w:pPr>
    </w:p>
    <w:p>
      <w:pPr>
        <w:ind w:left="1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(v)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1221740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80" w:type="dxa"/>
            <w:vAlign w:val="bottom"/>
          </w:tcPr>
          <w:p>
            <w:pPr>
              <w:spacing w:after="0"/>
              <w:rPr>
                <w:sz w:val="22"/>
                <w:szCs w:val="22"/>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20"/>
                <w:szCs w:val="20"/>
                <w:b w:val="1"/>
                <w:bCs w:val="1"/>
                <w:color w:val="auto"/>
              </w:rPr>
              <w:t>SATELLOGIC INC.</w:t>
            </w:r>
          </w:p>
        </w:tc>
      </w:tr>
      <w:tr>
        <w:trPr>
          <w:trHeight w:val="270"/>
        </w:trPr>
        <w:tc>
          <w:tcPr>
            <w:tcW w:w="3280" w:type="dxa"/>
            <w:vAlign w:val="bottom"/>
          </w:tcPr>
          <w:p>
            <w:pPr>
              <w:spacing w:after="0"/>
              <w:rPr>
                <w:sz w:val="23"/>
                <w:szCs w:val="23"/>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20"/>
                <w:szCs w:val="20"/>
                <w:color w:val="auto"/>
              </w:rPr>
              <w:t>(Registrant)</w:t>
            </w:r>
          </w:p>
        </w:tc>
      </w:tr>
      <w:tr>
        <w:trPr>
          <w:trHeight w:val="544"/>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August 15, 2024</w:t>
            </w: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20"/>
                <w:szCs w:val="20"/>
                <w:color w:val="auto"/>
              </w:rPr>
              <w:t>By:   /s/ Rick Dunn</w:t>
            </w:r>
          </w:p>
        </w:tc>
      </w:tr>
      <w:tr>
        <w:trPr>
          <w:trHeight w:val="256"/>
        </w:trPr>
        <w:tc>
          <w:tcPr>
            <w:tcW w:w="3280" w:type="dxa"/>
            <w:vAlign w:val="bottom"/>
          </w:tcPr>
          <w:p>
            <w:pPr>
              <w:spacing w:after="0"/>
              <w:rPr>
                <w:sz w:val="22"/>
                <w:szCs w:val="22"/>
                <w:color w:val="auto"/>
              </w:rPr>
            </w:pPr>
          </w:p>
        </w:tc>
        <w:tc>
          <w:tcPr>
            <w:tcW w:w="2480" w:type="dxa"/>
            <w:vAlign w:val="bottom"/>
          </w:tcPr>
          <w:p>
            <w:pPr>
              <w:ind w:left="1960"/>
              <w:spacing w:after="0"/>
              <w:rPr>
                <w:sz w:val="20"/>
                <w:szCs w:val="20"/>
                <w:color w:val="auto"/>
              </w:rPr>
            </w:pPr>
            <w:r>
              <w:rPr>
                <w:rFonts w:ascii="Times New Roman" w:cs="Times New Roman" w:eastAsia="Times New Roman" w:hAnsi="Times New Roman"/>
                <w:sz w:val="20"/>
                <w:szCs w:val="20"/>
                <w:color w:val="auto"/>
                <w:w w:val="93"/>
              </w:rPr>
              <w:t>Name:</w:t>
            </w:r>
          </w:p>
        </w:tc>
        <w:tc>
          <w:tcPr>
            <w:tcW w:w="4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Rick Dunn</w:t>
            </w:r>
          </w:p>
        </w:tc>
      </w:tr>
      <w:tr>
        <w:trPr>
          <w:trHeight w:val="261"/>
        </w:trPr>
        <w:tc>
          <w:tcPr>
            <w:tcW w:w="3280" w:type="dxa"/>
            <w:vAlign w:val="bottom"/>
          </w:tcPr>
          <w:p>
            <w:pPr>
              <w:spacing w:after="0"/>
              <w:rPr>
                <w:sz w:val="22"/>
                <w:szCs w:val="22"/>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20"/>
                <w:szCs w:val="20"/>
                <w:color w:val="auto"/>
              </w:rPr>
              <w:t>Title: Chief Financial Officer</w:t>
            </w:r>
          </w:p>
        </w:tc>
      </w:tr>
    </w:tbl>
    <w:p>
      <w:pPr>
        <w:sectPr>
          <w:pgSz w:w="11900" w:h="16838" w:orient="portrait"/>
          <w:cols w:equalWidth="0" w:num="1">
            <w:col w:w="11020"/>
          </w:cols>
          <w:pgMar w:left="320" w:top="1152" w:right="5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30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Exhibit 99.1 - Satellogic Inc.’s Unaudited Condensed Consolidated Financial Statements</w:t>
            </w:r>
          </w:p>
        </w:tc>
        <w:tc>
          <w:tcPr>
            <w:tcW w:w="940" w:type="dxa"/>
            <w:vAlign w:val="bottom"/>
          </w:tcPr>
          <w:p>
            <w:pPr>
              <w:spacing w:after="0"/>
              <w:rPr>
                <w:sz w:val="22"/>
                <w:szCs w:val="22"/>
                <w:color w:val="auto"/>
              </w:rPr>
            </w:pPr>
          </w:p>
        </w:tc>
      </w:tr>
      <w:tr>
        <w:trPr>
          <w:trHeight w:val="1188"/>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Index to Unaudited Condensed Consolidated Financial Statements</w:t>
            </w:r>
          </w:p>
        </w:tc>
        <w:tc>
          <w:tcPr>
            <w:tcW w:w="940" w:type="dxa"/>
            <w:vAlign w:val="bottom"/>
          </w:tcPr>
          <w:p>
            <w:pPr>
              <w:spacing w:after="0"/>
              <w:rPr>
                <w:sz w:val="24"/>
                <w:szCs w:val="24"/>
                <w:color w:val="auto"/>
              </w:rPr>
            </w:pPr>
          </w:p>
        </w:tc>
      </w:tr>
      <w:tr>
        <w:trPr>
          <w:trHeight w:val="351"/>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Condensed Consolidated Statements of Operations and Comprehensive Loss for the six months ended June 30, 2024 and 2023</w:t>
            </w:r>
          </w:p>
        </w:tc>
        <w:tc>
          <w:tcPr>
            <w:tcW w:w="9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2</w:t>
            </w:r>
          </w:p>
        </w:tc>
      </w:tr>
      <w:tr>
        <w:trPr>
          <w:trHeight w:val="351"/>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Condensed Consolidated Balance Sheets as of June 30, 2024 and December 31, 2023</w:t>
            </w:r>
          </w:p>
        </w:tc>
        <w:tc>
          <w:tcPr>
            <w:tcW w:w="9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3</w:t>
            </w:r>
          </w:p>
        </w:tc>
      </w:tr>
      <w:tr>
        <w:trPr>
          <w:trHeight w:val="351"/>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Condensed Consolidated Statements of Stockholders’ Equity for the six months ended June 30, 2024 and 2023</w:t>
            </w:r>
          </w:p>
        </w:tc>
        <w:tc>
          <w:tcPr>
            <w:tcW w:w="9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4</w:t>
            </w:r>
          </w:p>
        </w:tc>
      </w:tr>
      <w:tr>
        <w:trPr>
          <w:trHeight w:val="351"/>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Condensed Consolidated Statements of Cash Flows for the six months ended June 30, 2024 and 2023</w:t>
            </w:r>
          </w:p>
        </w:tc>
        <w:tc>
          <w:tcPr>
            <w:tcW w:w="9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6</w:t>
            </w:r>
          </w:p>
        </w:tc>
      </w:tr>
      <w:tr>
        <w:trPr>
          <w:trHeight w:val="351"/>
        </w:trPr>
        <w:tc>
          <w:tcPr>
            <w:tcW w:w="10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Notes to the Condensed Consolidated Financial Statements</w:t>
            </w:r>
          </w:p>
        </w:tc>
        <w:tc>
          <w:tcPr>
            <w:tcW w:w="9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w:t>
            </w:r>
          </w:p>
        </w:tc>
      </w:tr>
      <w:tr>
        <w:trPr>
          <w:trHeight w:val="932"/>
        </w:trPr>
        <w:tc>
          <w:tcPr>
            <w:tcW w:w="10300" w:type="dxa"/>
            <w:vAlign w:val="bottom"/>
          </w:tcPr>
          <w:p>
            <w:pPr>
              <w:ind w:left="5580"/>
              <w:spacing w:after="0"/>
              <w:rPr>
                <w:sz w:val="20"/>
                <w:szCs w:val="20"/>
                <w:color w:val="auto"/>
              </w:rPr>
            </w:pPr>
            <w:r>
              <w:rPr>
                <w:rFonts w:ascii="Times New Roman" w:cs="Times New Roman" w:eastAsia="Times New Roman" w:hAnsi="Times New Roman"/>
                <w:sz w:val="20"/>
                <w:szCs w:val="20"/>
                <w:color w:val="auto"/>
              </w:rPr>
              <w:t>1</w:t>
            </w:r>
          </w:p>
        </w:tc>
        <w:tc>
          <w:tcPr>
            <w:tcW w:w="940" w:type="dxa"/>
            <w:vAlign w:val="bottom"/>
          </w:tcPr>
          <w:p>
            <w:pPr>
              <w:spacing w:after="0"/>
              <w:rPr>
                <w:sz w:val="24"/>
                <w:szCs w:val="24"/>
                <w:color w:val="auto"/>
              </w:rPr>
            </w:pPr>
          </w:p>
        </w:tc>
      </w:tr>
      <w:tr>
        <w:trPr>
          <w:trHeight w:val="109"/>
        </w:trPr>
        <w:tc>
          <w:tcPr>
            <w:tcW w:w="10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4" w:name="page5"/>
    <w:bookmarkEnd w:id="4"/>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expense shown separately below</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w:t>
            </w:r>
          </w:p>
        </w:tc>
      </w:tr>
      <w:tr>
        <w:trPr>
          <w:trHeight w:val="24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13,078</w:t>
            </w:r>
          </w:p>
        </w:tc>
      </w:tr>
      <w:tr>
        <w:trPr>
          <w:trHeight w:val="237"/>
        </w:trPr>
        <w:tc>
          <w:tcPr>
            <w:tcW w:w="81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39,495</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(36,311)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income (expense),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24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37"/>
        </w:trPr>
        <w:tc>
          <w:tcPr>
            <w:tcW w:w="81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(27,727)</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 gain, net of tax</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share for the period attributable to holders of Ordinary Shares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Ordinary Shares outstanding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90,504,845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89,326,172</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share for the period attributable to holders of Ordinary Shares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weighted-average Ordinary Shares outstanding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90,504,845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89,326,172</w:t>
            </w: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23,476</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$114 and $126, respectively</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4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33"/>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26,550</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41,130</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76,598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76,382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Earnout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r>
      <w:tr>
        <w:trPr>
          <w:trHeight w:val="23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w:t>
            </w:r>
          </w:p>
        </w:tc>
      </w:tr>
      <w:tr>
        <w:trPr>
          <w:trHeight w:val="243"/>
        </w:trPr>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21,392</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Convertible Notes at fair value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57,534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24,707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Ordinary Shares, $0.0001 par value, unlimited shares authorized; 78,089,268 Class A shares issued and 77,521,445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and 13,582,642 Class B shares issued and outstanding as of June 30, 2024 and 77,289,166 Class A shares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issued and 76,721,343 outstanding and 13,582,642 Class B shares issued and outstanding as of December 31, 2023</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 567,823 shares at June 30, 2024, and December 31, 2023</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344,144</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4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(283,833)</w:t>
            </w:r>
          </w:p>
        </w:tc>
      </w:tr>
      <w:tr>
        <w:trPr>
          <w:trHeight w:val="237"/>
        </w:trPr>
        <w:tc>
          <w:tcPr>
            <w:tcW w:w="81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51,675</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76,598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AND STOCKHOLDERS’ EQUITY</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 thousands of U.S. dollars, except share information)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90,303,985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344,144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(283,833)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51,675</w:t>
            </w:r>
          </w:p>
        </w:tc>
        <w:tc>
          <w:tcPr>
            <w:tcW w:w="0" w:type="dxa"/>
            <w:vAlign w:val="bottom"/>
          </w:tcPr>
          <w:p>
            <w:pPr>
              <w:spacing w:after="0"/>
              <w:rPr>
                <w:sz w:val="1"/>
                <w:szCs w:val="1"/>
                <w:color w:val="auto"/>
              </w:rPr>
            </w:pPr>
          </w:p>
        </w:tc>
      </w:tr>
      <w:tr>
        <w:trPr>
          <w:trHeight w:val="188"/>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(33,279)</w:t>
            </w: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88"/>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800,102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Withholding tax on stock-based compensation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91,104,087</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345,160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(381)</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(317,112)</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19,064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3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AND STOCKHOLDERS’ EQUITY</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 thousands of U.S. dollars, except share information)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89,195,437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337,928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(312)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(222,815)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106,198</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(29,851)</w:t>
            </w: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88"/>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466,093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8"/>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Withholding tax on stock-based compensation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88"/>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w:t>
            </w:r>
          </w:p>
        </w:tc>
        <w:tc>
          <w:tcPr>
            <w:tcW w:w="0" w:type="dxa"/>
            <w:vAlign w:val="bottom"/>
          </w:tcPr>
          <w:p>
            <w:pPr>
              <w:spacing w:after="0"/>
              <w:rPr>
                <w:sz w:val="1"/>
                <w:szCs w:val="1"/>
                <w:color w:val="auto"/>
              </w:rPr>
            </w:pPr>
          </w:p>
        </w:tc>
      </w:tr>
      <w:tr>
        <w:trPr>
          <w:trHeight w:val="28"/>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89,661,530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(236)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(252,666)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79,245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The accompanying notes are an integral part of the Condensed Consolidated Financial Statements.</w:t>
      </w:r>
    </w:p>
    <w:p>
      <w:pPr>
        <w:spacing w:after="0" w:line="1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 w:name="page9"/>
    <w:bookmarkEnd w:id="8"/>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(33,279)</w:t>
            </w:r>
          </w:p>
        </w:tc>
        <w:tc>
          <w:tcPr>
            <w:tcW w:w="10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(29,851)</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expense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for estimated credit losses on accounts receivable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net (income) loss of affiliate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change in contract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5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3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5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3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4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(23,891)</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(26,313)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(9,928)</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(9,928)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Secured Convertible Notes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withholding payments for vested equity-based compensation awards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27,361</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(36,260)</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26,779</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43,126</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 and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the Business</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January 25, 2022 (the “Closing Date”), Satellogic Inc. (“Satellogic” or the “Company”), a British Virgin Islands (“BVI”) company incorporated in the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 Group Inc. (d/b/a Satellogic), a limited liability company incorporated under the laws of the BVI (“Nettar”).</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January 26, 2022, Satellogic’s Class A ordinary shares, par value $0.0001 per share (the “Class A Ordinary Shares” and, together with the Class B ordinary shares, the “Ordinary Shares”), began trading on Nasdaq under the ticker symbol “SATL” and our warrants began trading on Nasdaq under the ticker symbol “SATLW”.</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Nettar was, prior to the transaction, the holding company of the Satellogic group and was incorporated on October 7, 2014 under the laws of the BVI as a company limited by shares. The registered office of Satellogic is located at Kingston Chambers Box 173 C/O Maples Corporate Services BVI LTD Road Town, Tortola D8 VG1110.</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References to “Nettar” contained herein refer to Nettar Group Inc. prior to the mergers, and references to “the Company,” “we,” “our,” “us” or “Satellogic” refer to Satellogic Inc. prior to the mergers and to the combined company following the mergers.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Presentation</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accompanying unaudited interim condensed consolidated financial statements as of June 30, 2024 and December 31, 2023 and for the six months ended June 30, 2024 and June 30, 2023 (the “Condensed Consolidated Financial Statements”) have been prepared in accordance with generally accepted accounting principles in the United States (“U.S. GAAP”) and the rules and regulations of the U.S. Securities and Exchange Commission (“SEC”). The Company conducts business through one operating segment.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include our accounts and those of our wholly owned subsidiaries. All intercompany accounts and transactions, including the intercompany portion of transactions with equity method investees, have been eliminated in consolidation. The Condensed Consolidated Financial Statements are presented in United States dollars (hereinafter “U.S. dollars” or “$”).</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Emerging Growth Company</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Going Concern and Liquidity</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evaluated whether there are any conditions and events, considered in the aggregate, that raise substantial doubt about our ability to continue as a going concern over the next twelve months through August 2025. Since inception, we have incurred significant operating losses and have an accumulated deficit of $317.1 million as of June 30, 2024, with net cash used in operating activities of $23.9 million for the six months ended June 30, 2024. As of June 30, 2024, our existing sources of liquidity included cash and cash equivalents of $25.6 million. We believe that this current level of cash and cash equivalents are not sufficient to fund operations and capital expenditures to reach larger scale revenue generation from our product offerings.</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order for us to proceed and reach larger scale revenue generation, we will need to raise additional funds through the issuance of additional equity, debt or both. Until such time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holders of Ordinary Shares.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In an effort to alleviate these conditions, we continue to seek and evaluate opportunities to raise additional capital through the issuance of equity or debt securities.</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April 12, 2024, the Company, Nettar and Acquiom Agency Services LLC, as the Holder Representative (the “Holder Representative”), entered into the Note Purchase Agreement (the “Note Purchase Agreement”) with the Purchaser (as defined in the Note Purchase Agreement), pursuant to which Nettar agreed to issue the floating rate secured convertible promissory notes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 See Note 14 (Secured Convertible Notes) for additional details on the Secured Convertible Notes.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we were able to secure debt financing of approximately $27.6 million during the second quarter of 2024, we do not believe this incremental funding will be sufficient to fund our operations for the next twelve months through August 2025. As a result of these uncertainties, and notwithstanding our plans and efforts to date, there is substantial doubt about our ability to continue as a going concern for one year from the date of when these Condensed Consolidated Financial Statements are issued.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have been prepared assuming we will continue as a going concern. The going concern basis of presentation assumes that we will continue in operation one year after the date these Condensed Consolidated Financial Statements are issued, and we will be able to realize its assets and discharge its liabilities and commitments in the normal course of business. If we cannot continue as a going concern, adjustments to the carrying values and classification of our assets and liabilities and the reported amounts of income and expenses could be required and could be material. We are continuing to take actions to secure sufficient financing (as described above) and thus believe that the application of the going concern assumption for the preparation of the Condensed Consolidated Financial Statements is appropriate.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preparation of the Condensed Consolidated Financial Statements in conformity with U.S. GAAP requires management to make estimates and assumptions that affect the reported amounts of assets and liabilities, the disclosure of contingent liabilities at the date of the financial statements, and the reported amounts of revenue and expenses during the reporting period. Significant estimates and assumptions reflected in these Condensed Consolidated Financial Statements include, but are not limited to, revenue recognition; determination of useful lives of property and equipment; valuation of warrant liabilities, earnout liabilities, stock options; and determination of income tax. We evaluate our estimates and assumptions on an ongoing basis. Actual results could differ from those estimates and such differences may be material to the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recognize revenue in accordance with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Revenue is recognized when a customer obtains control of promised goods or services. In addition, the standard requires disclosure of the nature, amount, timing, and uncertainty of revenue and cash flows arising from contracts with customers. The amount of revenue that is recorded reflects the consideration that we expect to receive in exchange for goods or services provided under such contracts.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main revenue stream is from services. We recognize as revenues, the amount of the transaction price that is allocated to the respective performance obligation when or as the performance obligation is satisfied, either over time or a point in time. Revenue is recognized upon delivery for asset monitoring contracts in which performance obligations are satisfied at a point in time upon image delivery. The Company has determined that it provides a series of distinct services in which the customer simultaneously receives and consumes data, so therefore the Company recognizes revenue ratably over the subscription period. For Space Systems contracts, revenue is typically recognized at a point in time, upon delivery of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nature of our contracts does not currently give rise to variable consideration related to returns or refunds as those are not offered.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evaluate contracts with a minimum purchase commitment to determine whether we expect to be entitled to a breakage amount. We consider the requirements on constraining estimates variable consideration. The following factors are evaluated when assessing the increased likelihood of a significant revenue reversal: (i) the amount of consideration is highly susceptible to factors outside our influence or control (e.g., volatility in a market, judgment of action of third parties, weather conditions), (ii) uncertainty about the amount of consideration is not expected to be resolved for a long period of time, (iii) our experience with similar types of contracts is limited, or that experience has limited predictive value, (iv) we have a practice of either offering a broad range of price concessions or changing the payment terms and conditions of similar contracts in similar circumstances, and (v) the contract has a large number and broad range of possible consideration amounts.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exclude amounts collected on behalf of third parties, such as sales taxes, when determining transaction price.</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Contract liabilities consist of payments received from customers, or such consideration that is contractually due, in advance of providing the product or performing services.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generally do not enter into long-term financing arrangements or payment plans with customers. Although our business practice is not to enter into contracts with non-cash consideration, at times this may occur. In these instances, we determine the fair value of the non-cash consideration at contract inception and includes this value as part of the total arrangement consideration. In instances where we cannot reasonably estimate the fair value of the non-cash consideration, we will measure the consideration indirectly by reference to its stand-alone selling price of the goods promised to the customer in exchange for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assets and liabilities are carried at fair value in accordance with U.S. GAAP.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Valuation techniques used to measure fair value requires us to utilize observable and unobservable inputs. The hierarchy gives the highest priority to quoted prices in active markets for identical assets or liabilities (Level 1 measurements) and the lowest priority to unobservable inputs (Level 3 measurements). Financial instruments carried at fair value are to be classified and disclosed in one of the following three levels of the fair value hierarchy, of which the first two are considered observable and the last is considered unobservable:</w:t>
      </w:r>
    </w:p>
    <w:p>
      <w:pPr>
        <w:spacing w:after="0" w:line="17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Quoted prices in active markets for identical assets or liabilities.</w:t>
      </w:r>
    </w:p>
    <w:p>
      <w:pPr>
        <w:spacing w:after="0" w:line="22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Valuation techniques for which the lowest level input that is significant to the fair value measurement is directly or indirectly observable.</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Valuation techniques for which the lowest level input that is significant to the fair value measurement is unobservable.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Assets and liabilities recognized at fair value on a recurring basis in the Condensed Consolidated Financial Statements are re-assessed at the end of each reporting period to determine whether any transfers have occurred between levels in the hierarchy.</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fair value disclosures, classes of assets and liabilities are based on the nature, characteristics and risks of the asset or liability and the level of the fair value hierarchy.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risk management</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Credit risk is the risk that a counterparty fails to discharge an obligation to us. We are exposed to credit risk from financial assets including cash, cash equivalents and restricted cash held at banks, trade and other receivables.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credit risk in respect of cash balances held with banks and deposits with banks are managed via diversification of bank deposits and are only with major reputable financial institutions.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our risk exposure is mainly influenced by the individual characteristics of each customer, we continuously analyze the creditworthiness of significant debtors. Accounts receivable are non-interest bearing and generally on terms of 30 to 90 days. As of June 30, 2024 three customers accounted for 65% of our accounts receivable, net of allowance. As of December 31, 2023, two customers accounted for 78% of our accounts receivable net of allowance.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had three customers that accounted for more than 10% of our revenue totaling $4.6 million for the six months ended June 30, 2024 and two customers that accounted for more than 10% of our revenue totaling $2.6 million for the six months ended June 30,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Assets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June 30, 2024, due to our net loss for the period and concluded that the asset group is not impaired.</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account for equity investments in which we have significant influence, but not a controlling financial interest, using the equity method of accounting. Under the equity method of accounting, investments are initially recorded at cost, less impairment, and subsequently adjusted to recognize our share of earnings or losses as a component of Other income (expense), net in the Condensed Consolidated Statements of Operations and Comprehensive Loss. Our equity method investments are required to be reviewed for impairment when it is determined there may be an other-than-temporary loss in value. We have not recorded any impairment losses related to our equity method investments during the period ended June 30,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24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measure and recognize all stock-based compensation expense based on estimated fair values for all stock-based awards made to employees and non-employees. Compensation cost is recognized over the requisite service period for each separate tranche, as though each tranche of the award is, in substance, a separate award. The expense calculation includes estimated forfeiture rates, which have been developed based upon historical experience.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for stock options are calculated using the Black-Scholes option pricing model using the following inputs: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Expected term - The simplified method is used to calculate the expected term.</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Expected volatility - We determine the expected stock price volatility based on the historical volatilities of guideline companies from comparable industries.</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Expected dividend yield - We do not use a dividend rate due to the fact that we have never declared or paid cash dividends on the Company’s Ordinary Shares and we do not anticipate doing so in the foreseeable future.</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Risk-free interest rate - We base our interest rate on a treasury instrument for which the term is commensurate with the maximum expected life of the stock options.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fair values for restricted stock units (“RSUs”) with service-based vesting conditions are calculated based upon our closing stock price on the date of the grant.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Currencies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financial position and results of operations of certain of our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Condensed Consolidated Statements of Operations and Comprehensive Loss (included in other income, net) and resulted in gains of $2.2 million and $2.0 million during the six-month periods ended June 30, 2024 and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determine if a contract is a lease or contains a lease at inception. On the lease commencement date, we recognize a right-of-use (“ROU”) asset and lease liability related to operating type leases. The cost of ROU</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assets includes the amount of lease liabilities recognized, initial direct costs incurred, and lease payments made at or before the commencement date less any lease incentives received. Operating lease liabilities are recorded based on the present value of the future lease fixed payments. In determining the present value of future lease payments, we use our incremental borrowing rate applicable to the economic environment and the duration of the lease based on the information available at the commencement date as the majority of leases do not provide an implicit rate. For real estate and equipment contracts, we generally account for the lease and non-lease components as a single lease component. In assessing the lease term, we include options to renew only when we are reasonably certain that such option(s) will be exercised; a determination which is at our sole discretion. Variable lease payments are recognized as expenses in the period incurred. For leases with an initial term of 12 months or less, we have elected to not record an ROU asset and lease liability. We record lease expense on a straight-line basis over the shorter of the lease term and estimated useful lives of the assets, beginning on the commencement date.</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remeasure and reallocate the consideration in a lease when there is a modification of the lease that is not accounted for as a separate contract. The lease liability is remeasured when there is a change in the lease term or in the assessment of whether we will exercise a lease option. We assess ROU assets for impairment in accordance with our long-lived asset impairment policy.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account for lease agreements with contractually required lease and non-lease components on a combined basis. Lease payments made for cancellable leases, variable amounts that are not based on an observable index and lease agreements with an original duration of less than 12 months are recorded directly to lease expense.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periods presented, we do not have any financing type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six months ended June 30, 2024 and 2023, lease expense was $1.1 million and $1.3 million, respectively. Lease obligations and right of use assets decreased as of June 30, 2024 compared to December 31, 2023 due primarily to the reduction in a facility lease term, which was accounted for as a lease modification in the six months ended June 30,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and Allowance for Credit Losses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Trade accounts receivable are stated at the amount owed by the customer, net of allowances for estimated credit losses, discounts, returns and rebates. We measure the allowance for credit losses based on the estimated loss.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calculating an allowance for credit losses, we use our historical experience, external indicators, forward-looking information and an aging method. Generally, we assess collectability of trade accounts receivable on a collective basis as they possess shared credit risk characteristics, which have been grouped based on the days past due. For certain customers that have a large percentage of our total accounts receivable, we analyze them on a specific basis to determine expected collectability.</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Accounts are written off against the allowance account when they are determined to be no longer collectible. The following table shows the activity in the allowance for credit losses for the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6"/>
        </w:trPr>
        <w:tc>
          <w:tcPr>
            <w:tcW w:w="80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beginning of period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r>
      <w:tr>
        <w:trPr>
          <w:trHeight w:val="23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4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Recoveries collected</w:t>
            </w: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end of period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3,300</w:t>
            </w:r>
          </w:p>
        </w:tc>
      </w:tr>
      <w:tr>
        <w:trPr>
          <w:trHeight w:val="21"/>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Cash Equivalents and Restricted Cash</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Cash and cash equivalents include deposits in banks and short-term (original maturities of three months or less at the time of purchase), highly liquid investments that are readily convertible to known amounts of cash with a maturity of three months or less at the time of purchase.</w:t>
      </w:r>
    </w:p>
    <w:p>
      <w:pPr>
        <w:spacing w:after="0" w:line="19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Restricted cash, including amounts in Other non-current assets, represents amounts pledged as guarantees for sales and lease agreements as contractually required.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23,476</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Information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net of refunds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Accounting Standards Updates (“ASU”)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Standards Not Yet Adopted</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is evaluating its impact and will implement this standard for year-ended reporting as of and for the year ended December 31, 2024 and interim reporting starting in 2025.</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its impact and will implement this standard for year-ended reporting as of and for the year ended December 31,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 w:name="page18"/>
    <w:bookmarkEnd w:id="17"/>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Revenue from Contracts with Customers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six months ended June 30, 2024 and 2023, the Company recognized revenue of $6.8 million and $3.2 million as described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our revenue by business line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6"/>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business line</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Monitoring</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Constellation as a Service (“CaaS”)</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Space Systems</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our revenue by timing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timing</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 time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8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Point-in time</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6,829</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3,184</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the Company’s revenue by geography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6"/>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1"/>
                <w:szCs w:val="21"/>
                <w:b w:val="1"/>
                <w:bCs w:val="1"/>
                <w:color w:val="auto"/>
                <w:vertAlign w:val="superscript"/>
              </w:rPr>
              <w:t>(1)</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6,829</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3,184</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93"/>
              </w:rPr>
              <w:t>(1)</w:t>
            </w:r>
          </w:p>
        </w:tc>
        <w:tc>
          <w:tcPr>
            <w:tcW w:w="51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Revenue by geography is based on the geographical location of the customer.</w:t>
            </w:r>
          </w:p>
        </w:tc>
        <w:tc>
          <w:tcPr>
            <w:tcW w:w="0" w:type="dxa"/>
            <w:vAlign w:val="bottom"/>
          </w:tcPr>
          <w:p>
            <w:pPr>
              <w:spacing w:after="0"/>
              <w:rPr>
                <w:sz w:val="1"/>
                <w:szCs w:val="1"/>
                <w:color w:val="auto"/>
              </w:rPr>
            </w:pPr>
          </w:p>
        </w:tc>
      </w:tr>
      <w:tr>
        <w:trPr>
          <w:trHeight w:val="83"/>
        </w:trPr>
        <w:tc>
          <w:tcPr>
            <w:tcW w:w="22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liabilities and Remaining Performance Obligations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contract liabilities consist of payments received from customers, or such consideration contractually due, in advance of providing the relevant satellite imagery or related service. Amounts included in Contract liabilities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2,829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During the six months ended June 30, 2024, we recognized revenue of $3.3 million that was included as a Contract liability as of December 31, 2023. During the six months ended June 30, 2023, we recognized revenue of $0.1 million that was included as a Contract liability as of December 31, 2022.</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contract’s transaction price is allocated to each distinct performance obligation and recognized as revenue when, or as, the performance obligation is satisfied. The following table represents the total transaction price for the remaining performance obligations as of June 30, 2024 related to non-cancellable contracts longer than 12 months in duration that is expected to be recognized over future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 1-2</w:t>
            </w: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 2-3</w:t>
            </w:r>
          </w:p>
        </w:tc>
        <w:tc>
          <w:tcPr>
            <w:tcW w:w="2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4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Warrant Liabilities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Liberty Warrants and</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Liberty Advisory Fee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$8.63 </w:t>
            </w:r>
            <w:r>
              <w:rPr>
                <w:rFonts w:ascii="Times New Roman" w:cs="Times New Roman" w:eastAsia="Times New Roman" w:hAnsi="Times New Roman"/>
                <w:sz w:val="16"/>
                <w:szCs w:val="16"/>
                <w:b w:val="1"/>
                <w:bCs w:val="1"/>
                <w:color w:val="auto"/>
              </w:rPr>
              <w:t>Warrants</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26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PIPE Warrant</w:t>
            </w:r>
          </w:p>
        </w:tc>
        <w:tc>
          <w:tcPr>
            <w:tcW w:w="2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0" w:type="dxa"/>
            <w:vAlign w:val="bottom"/>
          </w:tcPr>
          <w:p>
            <w:pPr>
              <w:spacing w:after="0"/>
              <w:rPr>
                <w:sz w:val="1"/>
                <w:szCs w:val="1"/>
                <w:color w:val="auto"/>
              </w:rPr>
            </w:pPr>
          </w:p>
        </w:tc>
      </w:tr>
      <w:tr>
        <w:trPr>
          <w:trHeight w:val="24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center"/>
              <w:ind w:left="1199"/>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2,795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115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color w:val="auto"/>
                <w:w w:val="98"/>
              </w:rPr>
              <w:t>(1,200)</w:t>
            </w: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center"/>
              <w:ind w:left="1199"/>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1,595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Liberty Warrants and Liberty Advisory Fee Warrant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Related to a subscription agreement (the “Liberty Subscription Agreement”) among the Company, CF V and an investor, the Company agreed to issue and sell, among other securities, warrants (i) to purchase up to 5,000,000 of the Company’s Class A Ordinary Shares (the “Class A Ordinary Shares”) at an exercise price of $10.00 per share and (ii) to purchase up to 15,000,000 of Company’s Class A Ordinary Shares at an exercise price of $15.00 per share (collectively, the “Liberty Warrants”), in a private placement for an aggregate purchase price of $150.0 million. The transaction closed in February 2022. In connection with that transaction, an advisory fee, payable by the Company in exchange for advisory services to be provided to the Company from time to time until a Cessation Event (as defined in the Liberty Subscription Agreement) that includes a warrant to purchase 2,500,000 of the Company’s Class A Ordinary Shares at an exercise price of $10.00 per share (the “Liberty Advisory Fee Warrant”). The Liberty Warrants and the Liberty Advisory Fee Warrant were initially recognized as a liability with a fair value of $30.9 million. The Liberty Warrants and the Liberty Advisory Fee Warrant remain unexercised and were remeasured to fair value of $1.1 million as of June 30,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 w:name="page20"/>
    <w:bookmarkEnd w:id="19"/>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PIPE Warrant</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PIPE Warrant was initially recognized as a liability with a fair value of $1.3 million. The PIPE Warrant remains unexercised and was remeasured to fair value of $0.1 million as of June 30,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$8.63 Warrants</w:t>
      </w:r>
    </w:p>
    <w:p>
      <w:pPr>
        <w:spacing w:after="0" w:line="2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In connection with the Merger, we entered into an Assignment, Assumption and Amendment Agreement (the “Amended Warrant Agreement”), dated January 25, 2022 with the CFAC Holdings V, LLC, a Delaware limited liability company (the “Sponsor”), and CF V that amends the Warrant Agreement (the “Existing Warrant Agreement”), dated January 28, 2021.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Pursuant to the Existing Warrant Agreement, we issued Public Warrants to purchase 8,333,333 Class A Ordinary Shares and 200,000 Private Placement Warrants. Additionally, we agreed to issue the Forward Purchase Warrant (together, with the Public Warrants and the Private Placement Warrants, the “$8.63 Warrants”) to purchase 333,333 Class A Ordinary Shares pursuant to the Amended and Restated Forward Purchase Agreement entered into by the Company, the Sponsor and CF V.</w:t>
      </w:r>
    </w:p>
    <w:p>
      <w:pPr>
        <w:spacing w:after="0" w:line="2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All of the $8.63 Warrants are governed by the Existing Warrant Agreement. The $8.63 Warrants became exercisable 30 days after the Closing Date, or February 25, 2022, and will expire five years after the Closing Date (January 25, 2027), or earlier upon redemption or liquidation.</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$8.63 Warrants were initially recognized as a liability with a fair value of $4.9 million. On April 1, 2022, we determined pursuant to a warrant agreement executed by CF V on January 28, 2021, as modified and assumed by an assignment and assumption agreement executed on January 25, 2022, that the warrant price with respect to the warrants issued and outstanding was adjusted from $11.50 to $8.63 and the redemption price was adjusted from $18.00 to $13.50. $8.63 Warrants were remeasured to fair value of $0.5 million as of June 30, 2024.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Earnout Liability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Sponsor Earnout</w:t>
            </w:r>
          </w:p>
        </w:tc>
      </w:tr>
      <w:tr>
        <w:trPr>
          <w:trHeight w:val="24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419</w:t>
            </w:r>
          </w:p>
        </w:tc>
      </w:tr>
      <w:tr>
        <w:trPr>
          <w:trHeight w:val="236"/>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color w:val="auto"/>
                <w:w w:val="97"/>
              </w:rPr>
              <w:t>(206)</w:t>
            </w:r>
          </w:p>
        </w:tc>
      </w:tr>
      <w:tr>
        <w:trPr>
          <w:trHeight w:val="268"/>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213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Sponsor Earnout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that certain Sponsor Support Agreement, dated as of July 5, 2021, by and among us, the Sponsor and Nettar, the Sponsor has agreed that during the period between the Closing and the five-year anniversary of the Closing, the Sponsor shall not sell, transfer or otherwise dispose of Class A Ordinary Shares equal to 1,869,000 less 30% of Forfeiture Escrow Shares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20-trading-day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were not satisfied during the six months ended June 30, 2024. As a result, the 1,775,962 Class A Ordinary Shares were not vested and are subject to transfer restrictions and contingent forfeiture provisions.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estimated fair value of the Sponsor Earnout liability is based on a Monte Carlo simulation valuation model using a distribution of potential outcomes on a semi-annual basis over the earnout period, using the most reliable information available. Assumptions used in the valuation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644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w:t>
            </w: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7"/>
        </w:trPr>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number of shares</w:t>
            </w:r>
          </w:p>
        </w:tc>
        <w:tc>
          <w:tcPr>
            <w:tcW w:w="2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1,775,962</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1,775,962</w:t>
            </w:r>
          </w:p>
        </w:tc>
      </w:tr>
      <w:tr>
        <w:trPr>
          <w:trHeight w:val="27"/>
        </w:trPr>
        <w:tc>
          <w:tcPr>
            <w:tcW w:w="64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and Equipment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consists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9"/>
        </w:trPr>
        <w:tc>
          <w:tcPr>
            <w:tcW w:w="6600" w:type="dxa"/>
            <w:vAlign w:val="bottom"/>
          </w:tcPr>
          <w:p>
            <w:pPr>
              <w:spacing w:after="0"/>
              <w:rPr>
                <w:sz w:val="20"/>
                <w:szCs w:val="20"/>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80" w:type="dxa"/>
            <w:vAlign w:val="bottom"/>
          </w:tcPr>
          <w:p>
            <w:pPr>
              <w:spacing w:after="0"/>
              <w:rPr>
                <w:sz w:val="20"/>
                <w:szCs w:val="20"/>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Satellites and other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70,815</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68,184</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Satellites under construction</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17,506</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97,555</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(62,416)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(56,425)</w:t>
            </w:r>
          </w:p>
        </w:tc>
      </w:tr>
      <w:tr>
        <w:trPr>
          <w:trHeight w:val="26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41,130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related to the Company’s property and equipment and operating lease ROU assets by geography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43"/>
        </w:trPr>
        <w:tc>
          <w:tcPr>
            <w:tcW w:w="8180" w:type="dxa"/>
            <w:vAlign w:val="bottom"/>
          </w:tcPr>
          <w:p>
            <w:pPr>
              <w:ind w:left="2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Total</w:t>
            </w:r>
            <w:r>
              <w:rPr>
                <w:rFonts w:ascii="Times New Roman" w:cs="Times New Roman" w:eastAsia="Times New Roman" w:hAnsi="Times New Roman"/>
                <w:sz w:val="10"/>
                <w:szCs w:val="10"/>
                <w:b w:val="1"/>
                <w:bCs w:val="1"/>
                <w:color w:val="auto"/>
              </w:rPr>
              <w:t xml:space="preserve"> (1) (2) (3)</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39,338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44,325</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Non-current assets include property and equipment, net and operating lease right-of-use assets.</w:t>
      </w:r>
    </w:p>
    <w:p>
      <w:pPr>
        <w:ind w:left="320" w:hanging="312"/>
        <w:spacing w:after="0" w:line="191" w:lineRule="auto"/>
        <w:tabs>
          <w:tab w:leader="none" w:pos="32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Presentation in the table is based on the geographic location of the entity that holds the assets.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do not have any non-current assets in the country of incorporation of the holding company.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Additional Financial Statement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Prepaid Expenses and Other Current Assets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to suppliers</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Accrued Expenses and Other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and benefits payable</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taxes payable</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4,898</w:t>
            </w:r>
          </w:p>
        </w:tc>
      </w:tr>
      <w:tr>
        <w:trPr>
          <w:trHeight w:val="230"/>
        </w:trPr>
        <w:tc>
          <w:tcPr>
            <w:tcW w:w="8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526</w:t>
            </w:r>
          </w:p>
        </w:tc>
      </w:tr>
      <w:tr>
        <w:trPr>
          <w:trHeight w:val="20"/>
        </w:trPr>
        <w:tc>
          <w:tcPr>
            <w:tcW w:w="8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Finance Costs, net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income (expense), net</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finance costs</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incorporated in the BVI.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operations are conducted or in which our subsidiaries are considered resident for corporate income tax purposes, including Argentina, China, Israel, the Netherlands, Spain, Uruguay, and the United States.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income tax expense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78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(31,491)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(27,727)</w:t>
            </w:r>
          </w:p>
        </w:tc>
      </w:tr>
      <w:tr>
        <w:trPr>
          <w:trHeight w:val="23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1,788</w:t>
            </w:r>
          </w:p>
        </w:tc>
        <w:tc>
          <w:tcPr>
            <w:tcW w:w="16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2,124</w:t>
            </w:r>
          </w:p>
        </w:tc>
      </w:tr>
      <w:tr>
        <w:trPr>
          <w:trHeight w:val="2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2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Our effective tax rate for the six months ended June 30, 2024 differs from the BVI statutory rate of 0%. We maintain the exception under ASC 740-270-30-36(b), </w:t>
      </w:r>
      <w:r>
        <w:rPr>
          <w:rFonts w:ascii="Times New Roman" w:cs="Times New Roman" w:eastAsia="Times New Roman" w:hAnsi="Times New Roman"/>
          <w:sz w:val="20"/>
          <w:szCs w:val="20"/>
          <w:i w:val="1"/>
          <w:iCs w:val="1"/>
          <w:color w:val="auto"/>
        </w:rPr>
        <w:t>Accounting for Income Taxes</w:t>
      </w:r>
      <w:r>
        <w:rPr>
          <w:rFonts w:ascii="Times New Roman" w:cs="Times New Roman" w:eastAsia="Times New Roman" w:hAnsi="Times New Roman"/>
          <w:sz w:val="20"/>
          <w:szCs w:val="20"/>
          <w:color w:val="auto"/>
        </w:rPr>
        <w:t>, for jurisdictions that do not have reliable estimates of income. We have used a year-to-date methodology to determine the effective tax rate for the six months ended June 30, 2024 and 2023.</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recognizes uncertain income tax positions when it is not more-likely-than-not a tax position will be sustained upon examination. As of June 30, 2024, the Company has recognized uncertain tax positions related to positions taken in Argentina and Spain. If necessary, the Company accrues interest and penalties related to uncertain tax positions as a component of the income tax provision.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amounts of our gross unrecognized tax benefits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r>
      <w:tr>
        <w:trPr>
          <w:trHeight w:val="236"/>
        </w:trPr>
        <w:tc>
          <w:tcPr>
            <w:tcW w:w="7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3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Increases (decreases) in tax positions related to prior periods</w:t>
            </w: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6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employees, including senior executives, receive incentives in the form of stock options and RSUs, whereby employees render services as consideration for equity instruments (equity-settled transactions).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the Closing Date, we established the 2021 Equity Incentive Plan under which RSUs were issued. The Equity Incentive Plan provides for grant of options, stock appreciation rights, restricted stock awards, RSUs, shares granted as a bonus or in lieu of another award, dividend equivalents, or other stock-based awards or performance awards at the discretion of a board-elected committee. We also maintain our 2015 Share Plan as amended (the “2015 Plan”) under which stock-based awards were issued or modified. The options were typically granted for a four-year vesting term and have a maximum term of 10 years. As of December 31, 2023, no further awards have or shall be granted under the 2015 Plan. There were no options granted during the six months ended June 30, 2024 or 2023. the direct allocation as well as the sale of shares and the granting of options for the purchase of shares, at the discretion of the Company’s board of directors, to certain employees, advisors and/or independent directors.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stock option activity for the six months ended June 30, 2024 was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Intrinsic Value (in</w:t>
            </w:r>
          </w:p>
        </w:tc>
      </w:tr>
      <w:tr>
        <w:trPr>
          <w:trHeight w:val="212"/>
        </w:trPr>
        <w:tc>
          <w:tcPr>
            <w:tcW w:w="50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3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4,909,302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$3,393</w:t>
            </w: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r>
      <w:tr>
        <w:trPr>
          <w:trHeight w:val="30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4,702,325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w:t>
            </w:r>
          </w:p>
        </w:tc>
      </w:tr>
      <w:tr>
        <w:trPr>
          <w:trHeight w:val="217"/>
        </w:trPr>
        <w:tc>
          <w:tcPr>
            <w:tcW w:w="5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4,517,989</w:t>
            </w:r>
          </w:p>
        </w:tc>
        <w:tc>
          <w:tcPr>
            <w:tcW w:w="15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w:t>
            </w: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material cancellations or modifications to the granted awards for the six months ended June 30, 2024 and 2023.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RSU activity for the six months ended June 30, 2024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Intrinsic value (in thousands)</w:t>
            </w:r>
          </w:p>
        </w:tc>
      </w:tr>
      <w:tr>
        <w:trPr>
          <w:trHeight w:val="243"/>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2023</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3,229,915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33"/>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 during the year</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1,792,798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53"/>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 during the year</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(1,021,199)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Vested during the year </w:t>
            </w:r>
            <w:r>
              <w:rPr>
                <w:rFonts w:ascii="Times New Roman" w:cs="Times New Roman" w:eastAsia="Times New Roman" w:hAnsi="Times New Roman"/>
                <w:sz w:val="21"/>
                <w:szCs w:val="21"/>
                <w:color w:val="auto"/>
                <w:vertAlign w:val="superscript"/>
              </w:rPr>
              <w:t>(1)</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(984,261)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spacing w:after="0"/>
              <w:rPr>
                <w:sz w:val="21"/>
                <w:szCs w:val="21"/>
                <w:color w:val="auto"/>
              </w:rPr>
            </w:pPr>
          </w:p>
        </w:tc>
      </w:tr>
      <w:tr>
        <w:trPr>
          <w:trHeight w:val="261"/>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Outstanding unvested RSUs at June 30, 2024</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3,017,253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firstLine="8"/>
        <w:spacing w:after="0"/>
        <w:tabs>
          <w:tab w:leader="none" w:pos="182"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issuance of Class A Ordinary Shares was deferred, as elected by the grantees, for 264,516 RSUs that vested during the six months ended June 30, 2024.</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weighted-average grant-date price of RSUs at June 30, 2024 was $1.68. The number of shares vested is net of 210,637 RSUs forfeited for payment of withholding taxes. There were 859,101 RSUs that vested in 2024 but were not yet issued as Ordinary Shares as of June 30,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June 30, 2024, unrecognized stock-based compensation cost related to outstanding options and RSUs that are expected to vest was $0.2 million and $2.9 million, respectively, which is expected to be recognized over a weighted-average period of 0.4 years and 1.7 years,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ind w:left="4740"/>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U.S. dollars, except per share data,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 Expense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employee and non-employee stock-based compensation expense for the six months ended June 30, 2024 and 2023 was classified in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Condensed Consolidated Statements of Operations and Comprehensive Loss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Diluted loss per share considers the impact of potentially dilutive securities. We identified financial instruments that qualify as potential Ordinary Shares: (i) the share-based options awards described in Note 12 (Stock-based Compensation), (ii) the warrants described in Note 5 (Warrant Liabilities), (iii) the earnout liabilities described in Note 6 (Earnout Liabilities), and the convertible debt described in Note 14 (Secured Convertible Notes). Each of these potential Ordinary Shares are antidilutive for both periods since their conversion to Ordinary Shares would decrease loss per share from continuing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Basic and diluted net loss per share attributable to holders of Ordinary Shares is calculated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holders of Ordinary Shares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(29,851)</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Ordinary Shares outstanding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90,504,845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89,326,172</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share for the period attributable to holders of Ordinary Shares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numerator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(29,851)</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weighted-average Ordinary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90,504,845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89,326,172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loss per share for the period attributable to holders of Ordinary Shares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Fair Value Measurements and Financial Instruments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provide the fair value measurement hierarchy of the Company’s assets and liabilities: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jc w:val="center"/>
        <w:ind w:left="2240" w:right="22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NOTES TO CONDENSED CONSOLIDATED FINANCIAL STATEMENTS </w:t>
      </w:r>
      <w:r>
        <w:rPr>
          <w:rFonts w:ascii="Times New Roman" w:cs="Times New Roman" w:eastAsia="Times New Roman" w:hAnsi="Times New Roman"/>
          <w:sz w:val="20"/>
          <w:szCs w:val="20"/>
          <w:color w:val="auto"/>
        </w:rPr>
        <w:t>(Expressed in thousands of US dollars, except per share data, unless otherwise stated) (Unaudited)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123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Financial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948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9"/>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39"/>
        </w:trPr>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00" w:type="dxa"/>
            <w:vAlign w:val="bottom"/>
          </w:tcPr>
          <w:p>
            <w:pPr>
              <w:spacing w:after="0"/>
              <w:rPr>
                <w:sz w:val="20"/>
                <w:szCs w:val="20"/>
                <w:color w:val="auto"/>
              </w:rPr>
            </w:pPr>
          </w:p>
        </w:tc>
        <w:tc>
          <w:tcPr>
            <w:tcW w:w="1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-7620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1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$8.63 Warrants liability</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6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263"/>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123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6"/>
          <w:szCs w:val="16"/>
          <w:b w:val="1"/>
          <w:bCs w:val="1"/>
          <w:color w:val="auto"/>
        </w:rPr>
        <w:t>Financial instruments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30480</wp:posOffset>
            </wp:positionV>
            <wp:extent cx="2948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9"/>
        </w:trPr>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markets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3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26"/>
        </w:trPr>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bl>
    <w:p>
      <w:pPr>
        <w:spacing w:after="0" w:line="1" w:lineRule="exact"/>
        <w:rPr>
          <w:sz w:val="20"/>
          <w:szCs w:val="20"/>
          <w:color w:val="auto"/>
        </w:rPr>
      </w:pPr>
    </w:p>
    <w:p>
      <w:pPr>
        <w:sectPr>
          <w:pgSz w:w="11900" w:h="16838" w:orient="portrait"/>
          <w:cols w:equalWidth="0" w:num="2">
            <w:col w:w="6120" w:space="720"/>
            <w:col w:w="440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$8.63 Warrants liability</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6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4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6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r>
      <w:tr>
        <w:trPr>
          <w:trHeight w:val="24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21"/>
                <w:szCs w:val="21"/>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methods and assumptions were used to estimate the fair values:</w:t>
      </w:r>
    </w:p>
    <w:p>
      <w:pPr>
        <w:spacing w:after="0" w:line="216" w:lineRule="exact"/>
        <w:rPr>
          <w:sz w:val="20"/>
          <w:szCs w:val="20"/>
          <w:color w:val="auto"/>
        </w:rPr>
      </w:pPr>
    </w:p>
    <w:p>
      <w:pPr>
        <w:jc w:val="both"/>
        <w:ind w:left="660" w:hanging="328"/>
        <w:spacing w:after="0" w:line="261"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values of cash and cash equivalents, restricted cash, accounts receivable, prepaid expenses and other current assets, accounts payable, and accrued expenses and other liabilities are considered to approximate their fair values due to the short term nature of these items.</w:t>
      </w:r>
    </w:p>
    <w:p>
      <w:pPr>
        <w:spacing w:after="0" w:line="181"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values of the PIPE Warrant have been estimated using the Black-Scholes model. Inputs used for the fair value measurement include:</w:t>
      </w: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to expiry – 2.6 years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80.5%</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free rate of return: 4.6%</w:t>
      </w:r>
    </w:p>
    <w:p>
      <w:pPr>
        <w:spacing w:after="0" w:line="207"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Sponsor Earnout has been estimated using the Monte Carlo model. Inputs used for the fair value measurement include:</w:t>
      </w: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to expiry – 2.6 years</w:t>
      </w:r>
    </w:p>
    <w:p>
      <w:pPr>
        <w:spacing w:after="0" w:line="6" w:lineRule="exact"/>
        <w:rPr>
          <w:rFonts w:ascii="Times New Roman" w:cs="Times New Roman" w:eastAsia="Times New Roman" w:hAnsi="Times New Roman"/>
          <w:sz w:val="20"/>
          <w:szCs w:val="20"/>
          <w:color w:val="auto"/>
        </w:rPr>
      </w:pPr>
    </w:p>
    <w:p>
      <w:pPr>
        <w:ind w:left="1340" w:hanging="360"/>
        <w:spacing w:after="0"/>
        <w:tabs>
          <w:tab w:leader="none" w:pos="13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80.5%</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free rate of return: 4.6%</w:t>
      </w:r>
    </w:p>
    <w:p>
      <w:pPr>
        <w:spacing w:after="0" w:line="207"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values of the Liberty Warrants and Liberty Advisory Fee Warrant have been estimated using the Black-Scholes model. Inputs used for the fair value measurement include:</w:t>
      </w:r>
    </w:p>
    <w:p>
      <w:pPr>
        <w:ind w:left="1340" w:hanging="360"/>
        <w:spacing w:after="0"/>
        <w:tabs>
          <w:tab w:leader="none" w:pos="13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to expiry – 2.6 years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80.2%</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free rate of return: 4.6%</w:t>
      </w:r>
    </w:p>
    <w:p>
      <w:pPr>
        <w:spacing w:after="0" w:line="234" w:lineRule="exact"/>
        <w:rPr>
          <w:rFonts w:ascii="Times New Roman" w:cs="Times New Roman" w:eastAsia="Times New Roman" w:hAnsi="Times New Roman"/>
          <w:sz w:val="20"/>
          <w:szCs w:val="20"/>
          <w:color w:val="auto"/>
        </w:rPr>
      </w:pPr>
    </w:p>
    <w:p>
      <w:pPr>
        <w:jc w:val="both"/>
        <w:ind w:left="660" w:hanging="328"/>
        <w:spacing w:after="0" w:line="267" w:lineRule="auto"/>
        <w:tabs>
          <w:tab w:leader="none" w:pos="64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values of the Secured Convertible Notes is determined by using the “with” method. At each measurement date we valued the Secured Convertible Notes with the conversion option. The difference between the aggregate fair value of the Secured Convertible Notes and the unpaid principal balance was $6.4 million at June 30, 2024. Inputs used for the fair value measurement include:</w:t>
      </w:r>
    </w:p>
    <w:p>
      <w:pPr>
        <w:spacing w:after="0" w:line="1"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spread – 25.67% to 38.17%</w:t>
      </w:r>
    </w:p>
    <w:p>
      <w:pPr>
        <w:sectPr>
          <w:pgSz w:w="11900" w:h="16838" w:orient="portrait"/>
          <w:cols w:equalWidth="0" w:num="1">
            <w:col w:w="11240"/>
          </w:cols>
          <w:pgMar w:left="320" w:top="114"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SATELLOGIC INC.</w:t>
      </w:r>
    </w:p>
    <w:p>
      <w:pPr>
        <w:spacing w:after="0" w:line="32" w:lineRule="exact"/>
        <w:rPr>
          <w:sz w:val="20"/>
          <w:szCs w:val="20"/>
          <w:color w:val="auto"/>
        </w:rPr>
      </w:pPr>
    </w:p>
    <w:p>
      <w:pPr>
        <w:jc w:val="center"/>
        <w:ind w:left="340" w:right="22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NOTES TO CONDENSED CONSOLIDATED FINANCIAL STATEMENTS </w:t>
      </w:r>
      <w:r>
        <w:rPr>
          <w:rFonts w:ascii="Times New Roman" w:cs="Times New Roman" w:eastAsia="Times New Roman" w:hAnsi="Times New Roman"/>
          <w:sz w:val="20"/>
          <w:szCs w:val="20"/>
          <w:color w:val="auto"/>
        </w:rPr>
        <w:t>(Expressed in thousands of US dollars, except per share data, unless otherwise stated) (Unaudited)</w:t>
      </w:r>
    </w:p>
    <w:p>
      <w:pPr>
        <w:spacing w:after="0" w:line="310" w:lineRule="exact"/>
        <w:rPr>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60%</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free rate of return: 4.5%</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value of operating lease liabilities is calculated as the present value of lease payments, discounted at its incremental borrowing rate at the lease commencement date. We consider that the incremental borrowing rate remained unchanged, therefore the carrying amount of operating lease liabilities approximates their fair value.</w:t>
      </w:r>
    </w:p>
    <w:p>
      <w:pPr>
        <w:spacing w:after="0" w:line="18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fair value of Level 3 liabilities during the six months ended June 30, 2024 and 2023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Liberty Warrants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and Liberty</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Advisory Fee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Secured Convertible</w:t>
            </w:r>
          </w:p>
        </w:tc>
      </w:tr>
      <w:tr>
        <w:trPr>
          <w:trHeight w:val="236"/>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PIPE Warrant</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Sponsor Earnout</w:t>
            </w:r>
          </w:p>
        </w:tc>
        <w:tc>
          <w:tcPr>
            <w:tcW w:w="320" w:type="dxa"/>
            <w:vAlign w:val="bottom"/>
          </w:tcPr>
          <w:p>
            <w:pPr>
              <w:spacing w:after="0"/>
              <w:rPr>
                <w:sz w:val="20"/>
                <w:szCs w:val="20"/>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Notes</w:t>
            </w:r>
          </w:p>
        </w:tc>
      </w:tr>
      <w:tr>
        <w:trPr>
          <w:trHeight w:val="25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January 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Remeasurement (gain)/loss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January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Issues</w:t>
            </w:r>
          </w:p>
        </w:tc>
        <w:tc>
          <w:tcPr>
            <w:tcW w:w="1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5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Remeasurement (gain)/loss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w:t>
            </w: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w:t>
            </w:r>
          </w:p>
        </w:tc>
        <w:tc>
          <w:tcPr>
            <w:tcW w:w="10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36,430</w:t>
            </w:r>
          </w:p>
        </w:tc>
      </w:tr>
      <w:tr>
        <w:trPr>
          <w:trHeight w:val="21"/>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Recognized in the Condensed Consolidated Statements of Operations and Comprehensive Loss for the six months ended June 30, 2024 and 2023, respectively.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between Level 1 and Level 2 during the six months ended June 30, 2024 or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Related Parties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made purchases totaling $0.5 million and $1.4 million from our equity method investee, Officina Stellare (“OS”), in the six months ended June 30, 2024 and 2023 and there was $0.8 million and $0.3 million owed to OS and included in accounts payable at June 30, 2024 and December 31, 2023, respectively.</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CF&amp;Co, which is the beneficial owner of more than 5% of the Company’s outstanding Class A Ordinary Shares, served as the Company’s financial advisor in connection with the offering and sale of the Secured Convertible Notes. Pursuant to a letter agreement, CF&amp;Co received a fee equal to $0.9 million after the closing of the Secured Convertible Notes. Howard Lutnick, a member of the Company’s Board of Directors, is the Chief Executive Office of CF&amp;Co.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14 (Secured Convertible Notes) for additional details on the Secured Convertible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Secured Convertible Notes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was no debt as of December 31, 2023. Debt as of June 30,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9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36,430</w:t>
            </w:r>
          </w:p>
        </w:tc>
      </w:tr>
      <w:tr>
        <w:trPr>
          <w:trHeight w:val="237"/>
        </w:trPr>
        <w:tc>
          <w:tcPr>
            <w:tcW w:w="9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debt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April 12, 2024, the Company, Nettar and the Holder Representative entered into a Note Purchase Agreement with the Purchaser, pursuant to which Nettar agreed to issue $30.0 million aggregate principal amount of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11.7% as of June 30, 2024),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Secured Convertible Notes are convertible into shares of the Company’s Class A Ordinary Shares at an initial conversion price of $1.20 (or 833 Class A Ordinary Shares per $1,000 principal amount of Secured Convertible Notes), subject to customary anti-dilution adjustments. The Company’s ability to settle conversions using the Company’s Class A Ordinary Shares is subject to CFIUS Approval (as defined in the Note Purchase Agreement).</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Unless this Note has been previously settled or converted in accordance with the other features mentioned within agreement, the entire outstanding principal balance and all unpaid accrued interest shall become fully due and payable on the Maturity Date, April 12, 2028.</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Ordinary Shares),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w:t>
      </w:r>
    </w:p>
    <w:p>
      <w:pPr>
        <w:spacing w:after="0" w:line="2" w:lineRule="exact"/>
        <w:rPr>
          <w:sz w:val="20"/>
          <w:szCs w:val="20"/>
          <w:color w:val="auto"/>
        </w:rPr>
      </w:pPr>
    </w:p>
    <w:p>
      <w:pPr>
        <w:ind w:firstLine="8"/>
        <w:spacing w:after="0" w:line="267" w:lineRule="auto"/>
        <w:tabs>
          <w:tab w:leader="none" w:pos="38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or otherwise conveyance of certain assets, subject to asset sale pre-payment described above, and (v) affiliate transactions.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offering, the Company also entered into (i) a side letter with the Purchaser, pursuant to which the Purchaser will be entitled to pre-emptive rights, in order to maintain its as-converted ownership percentage on the same basis as new capital raised and (ii) a registration rights agreement with the Purchaser, pursuant to which the Company agreed to register for resale the Class A Ordinary Shares issuable upon conversion of the Secured Convertible Notes.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 xml:space="preserve">The Company has elected to measure its Secured Convertible Notes at fair value and accordingly recognized $2.4 million </w:t>
      </w:r>
      <w:r>
        <w:rPr>
          <w:rFonts w:ascii="Times New Roman" w:cs="Times New Roman" w:eastAsia="Times New Roman" w:hAnsi="Times New Roman"/>
          <w:sz w:val="21"/>
          <w:szCs w:val="21"/>
          <w:color w:val="auto"/>
        </w:rPr>
        <w:t>of debt issuance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costs as incurred at the time of issuance </w:t>
      </w:r>
      <w:r>
        <w:rPr>
          <w:rFonts w:ascii="Times New Roman" w:cs="Times New Roman" w:eastAsia="Times New Roman" w:hAnsi="Times New Roman"/>
          <w:sz w:val="19"/>
          <w:szCs w:val="19"/>
          <w:color w:val="auto"/>
        </w:rPr>
        <w:t>in the Company’s Condensed Consolidated Statements of Operations and Comprehensive Loss.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Secured Convertible Notes had a fair value of $36.4 million compared to a principal amount of $30.0 million at June 30, 2024.</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Company presents changes in fair value of the Secured Convertible Notes during the period as follows: (1) changes in fair value attributable to the Company’s own credit risk are presented within Accumulated other comprehensive loss on the Condensed Consolidated Balance Sheets and as a component of Other comprehensive loss on the Condensed Consolidated Statements of Operations and Comprehensive Loss; and (2) other fair value changes are presented within Change in fair value of financial instruments on the Consolidated Statements of </w:t>
      </w:r>
      <w:r>
        <w:rPr>
          <w:rFonts w:ascii="Times New Roman" w:cs="Times New Roman" w:eastAsia="Times New Roman" w:hAnsi="Times New Roman"/>
          <w:sz w:val="21"/>
          <w:szCs w:val="21"/>
          <w:color w:val="auto"/>
        </w:rPr>
        <w:t>Operations</w:t>
      </w:r>
      <w:r>
        <w:rPr>
          <w:rFonts w:ascii="Times New Roman" w:cs="Times New Roman" w:eastAsia="Times New Roman" w:hAnsi="Times New Roman"/>
          <w:sz w:val="20"/>
          <w:szCs w:val="20"/>
          <w:color w:val="auto"/>
        </w:rPr>
        <w:t xml:space="preserve"> and Comprehensive Loss.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Contingencies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be named from time to time as a party to lawsuits arising in the ordinary course of business related to our sales, marketing, and the provision of our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June 30, 2024 and December 31, 2023, we are not aware of any contingent liabilities that should be reflected in the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Exhibit 99.2 - MANAGEMENT’S DISCUSSION AND ANALYSIS OF FINANCIAL CONDITION AND RESULTS OF OPERATIONS (“MD&amp;A”)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Cautionary Note Regarding Forward-Looking Statements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MD&amp;A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w:t>
      </w:r>
    </w:p>
    <w:p>
      <w:pPr>
        <w:spacing w:after="0" w:line="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including statements concerning possible or assumed future actions, business strategies, events or results of operations, are forward-looking statements. Forward-looking statements in this report include, but are not limited to, statements about:</w:t>
      </w:r>
    </w:p>
    <w:p>
      <w:pPr>
        <w:spacing w:after="0" w:line="22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future financial performance, including funding expansion plans and opportunities;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or changes required in, our officers, key employees or directors;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strategy, future operations, financial condition, estimated revenue and losses, projected costs, prospects and plans;</w:t>
      </w:r>
    </w:p>
    <w:p>
      <w:pPr>
        <w:spacing w:after="0" w:line="6" w:lineRule="exact"/>
        <w:rPr>
          <w:rFonts w:ascii="Times New Roman" w:cs="Times New Roman" w:eastAsia="Times New Roman" w:hAnsi="Times New Roman"/>
          <w:sz w:val="20"/>
          <w:szCs w:val="20"/>
          <w:color w:val="auto"/>
        </w:rPr>
      </w:pPr>
    </w:p>
    <w:p>
      <w:pPr>
        <w:ind w:left="660" w:right="3320" w:hanging="328"/>
        <w:spacing w:after="0" w:line="250"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and the expected benefits of our strategic and operational efficiency initiatives, including cash management and workforce reductions;</w:t>
      </w:r>
    </w:p>
    <w:p>
      <w:pPr>
        <w:ind w:left="660" w:hanging="328"/>
        <w:spacing w:after="0" w:line="248"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coordinate with the U.S. National Oceanic and Atmospheric Administration (“NOAA”) Commercial Remote Sensing Regulatory Affairs division to assure an understanding of regulations as they evolve;</w:t>
      </w: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the implementation, market acceptance and success of our business model;</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expectations surrounding capital requirements as we seek to build and launch more satellites;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expectations surrounding the growth of our commercial platform as a part of our revenues;</w:t>
      </w:r>
    </w:p>
    <w:p>
      <w:pPr>
        <w:spacing w:after="0" w:line="13"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conduct remaps of the planet’s surface with increasing regularity or frequency as we increase the number of our satellites in orbit;</w:t>
      </w: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productize our internal data analytics platform;</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plans to grow our constellation of satellites;</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performance of our Space Systems business line;</w:t>
      </w:r>
    </w:p>
    <w:p>
      <w:pPr>
        <w:spacing w:after="0" w:line="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launch satellites less expensively than our competitors; and</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increase satellite production to meet demand and reach our mapping goals.</w:t>
      </w:r>
    </w:p>
    <w:p>
      <w:pPr>
        <w:spacing w:after="0" w:line="219" w:lineRule="exact"/>
        <w:rPr>
          <w:rFonts w:ascii="Arial" w:cs="Arial" w:eastAsia="Arial" w:hAnsi="Arial"/>
          <w:sz w:val="22"/>
          <w:szCs w:val="22"/>
          <w:color w:val="auto"/>
        </w:rPr>
      </w:pPr>
    </w:p>
    <w:p>
      <w:pPr>
        <w:ind w:left="660"/>
        <w:spacing w:after="0" w:line="283" w:lineRule="auto"/>
        <w:rPr>
          <w:rFonts w:ascii="Arial" w:cs="Arial" w:eastAsia="Arial" w:hAnsi="Arial"/>
          <w:sz w:val="22"/>
          <w:szCs w:val="22"/>
          <w:color w:val="auto"/>
        </w:rPr>
      </w:pPr>
      <w:r>
        <w:rPr>
          <w:rFonts w:ascii="Times New Roman" w:cs="Times New Roman" w:eastAsia="Times New Roman" w:hAnsi="Times New Roman"/>
          <w:sz w:val="20"/>
          <w:szCs w:val="20"/>
          <w:color w:val="auto"/>
        </w:rPr>
        <w:t>Many actual events and circumstances are beyond the control of the Company. Many factors could cause actual future results to differ materially from the forward-looking statements in this report, including but not limited to:</w:t>
      </w:r>
    </w:p>
    <w:p>
      <w:pPr>
        <w:spacing w:after="0" w:line="186" w:lineRule="exact"/>
        <w:rPr>
          <w:rFonts w:ascii="Arial" w:cs="Arial" w:eastAsia="Arial" w:hAnsi="Arial"/>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 as expected;</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ind w:left="660" w:hanging="328"/>
        <w:spacing w:after="0" w:line="218"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market and sell our earth observation (“EO”) services and to convert contracted revenues and our pipeline of potential contracts into actual revenues;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Secured Convertible Notes;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loss of one or more of our largest customers;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considerable time and expense related to our sales efforts and the length and unpredictability of our sales cycle;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39" w:right="339" w:bottom="1440" w:gutter="0" w:footer="0" w:header="0"/>
        </w:sectPr>
      </w:pPr>
    </w:p>
    <w:bookmarkStart w:id="30" w:name="page31"/>
    <w:bookmarkEnd w:id="30"/>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associated with defense-related contracts;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pricing structure;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scale production of our satellites as planned;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risks, challenges and uncertainties related to our expansion into new business lines;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 to transport and launch our satellites into space;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 party vendors and manufacturers to build and provide certain satellite components, products, or services;</w:t>
      </w:r>
    </w:p>
    <w:p>
      <w:pPr>
        <w:spacing w:after="0" w:line="13"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ground station and cloud-based computing infrastructure operated by third parties for value added services, and any errors, disruption, cybersecurity incidents, performance problems, or failure in their or our operational infrastructure;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related to certain minimum service requirements in our customer contracts;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EO services and our dependence upon our ability to keep pace with the latest technological advances;</w:t>
      </w:r>
    </w:p>
    <w:p>
      <w:pPr>
        <w:spacing w:after="0" w:line="6"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suitable acquisition candidates or consummate acquisitions on acceptable terms, or our ability to successfully integrate acquisitions;</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for EO services;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with international operations or unexpected changes to the regulatory environment in certain markets;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defects or errors in our products;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related to the capital-intensive nature of our business and our ability to raise adequate capital to finance our business strategies;</w:t>
      </w:r>
    </w:p>
    <w:p>
      <w:pPr>
        <w:spacing w:after="0" w:line="13"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regarding our previously announced and ongoing efforts to reduce operational costs and control spending, including workforce reductions;</w:t>
      </w:r>
    </w:p>
    <w:p>
      <w:pPr>
        <w:spacing w:after="0" w:line="1"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beyond our control related to the production, launch, commissioning, and/or operation of our satellites and related ground systems, software and analytic technologies;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market for EO services to achieve the growth potential we expect;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satellites and related equipment becoming impaired;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failure of our satellites to operate as intended;</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launch delays, launch failures, and damage or destruction to our satellites during launch;</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risks and uncertainties related to our insurance that may not be covered by insurance; and</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natural disasters, unusual or prolonged unfavorable weather conditions, epidemic outbreaks, terrorist acts and geopolitical events (including the ongoing conflicts between Russia and Ukraine, in the Gaza Strip and the Red Sea region) on our business and satellite launch schedules.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Risks, uncertainties and events may cause actual results to differ materially from the expectations described in our forward-looking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foregoing list of factors is not exhaustive. You should carefully consider the foregoing factors and the other risks and uncertainties described in Item 3.D “Risk Factors” of the Company’s Annual Report on Form 20-F filed on April 15, 2024 (our “2023 Annual Report”) and other documents filed or to be filed by the Company from time to time with the SEC. These filings identify and address other important risks and uncertainties that could cause actual events and results to differ materially from those contained in the forward-looking statements. Forward 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Overview</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were founded in 2010 to help solve some of the greatest challenges of our time: resource utilization and distribution. From tradeoffs between food, energy and water supplies, to monitoring the impact of natural disasters, global health and humanitarian crises in the midst of a looming climate emergency, access to a continually refreshed source of global, high-quality data is critical to confronting some of the world’s most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927" w:right="339" w:bottom="1440" w:gutter="0" w:footer="0" w:header="0"/>
        </w:sectPr>
      </w:pPr>
    </w:p>
    <w:bookmarkStart w:id="31" w:name="page32"/>
    <w:bookmarkEnd w:id="31"/>
    <w:p>
      <w:pPr>
        <w:jc w:val="both"/>
        <w:spacing w:after="0" w:line="283" w:lineRule="auto"/>
        <w:rPr>
          <w:sz w:val="20"/>
          <w:szCs w:val="20"/>
          <w:color w:val="auto"/>
        </w:rPr>
      </w:pPr>
      <w:r>
        <w:rPr>
          <w:rFonts w:ascii="Times New Roman" w:cs="Times New Roman" w:eastAsia="Times New Roman" w:hAnsi="Times New Roman"/>
          <w:sz w:val="20"/>
          <w:szCs w:val="20"/>
          <w:color w:val="auto"/>
        </w:rPr>
        <w:t>crucial issues. We are committed to creating a fully automated and searchable EO catalog, and we believe we are uniquely positioned to provide the data that is critical to better inform decision-making aimed at addressing these challenges.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are the first vertically integrated geospatial company, and we are building the first scalable, fully automated EO platform with the ability, when scaled, to remap the entire planet at both high-frequency and high-resolution, providing accessible and affordable solutions for our customers. We plan to democratize access to geospatial data by providing planetary insights at what we believe to be the lowest cost in the industry, ultimately driving better decision-making across a broad range of industries including agriculture, forestry, energy, financial services, and cartography.</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created a highly scalable, vertically integrated and competitive operating model.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This vertical integration provides a significant cost advantage, enabling us to produce and launch satellites for less than one-tenth the cost of our competitors on average. Additionally, we own all our key intellectual property, and our patented technology allows us to capture approximately 10x more imagery than our competitors on average. Taken together, we are achieving over 60x better unit economics than our closest peers in the NewSpace sector and more than 100x better unit economics than legacy competitors. Additionally, we believe we are well positioned to compete effectively in the existing EO market that is currently supply-constrained and consists primarily of government and defense and intelligence (“D&amp;I”) customers. At June 30, 2024, we had 25 commercial satellites in orbit. As of the date of this report, we have 24 satellites in orbit, of which 20 are operational, one is in the commissioning stage and three are being used for testing. Over the near term, we will continue to take a measured approach to expanding our constellation, with our long-term vision to reach a constellation size of approximately 200 satellites and to have the capability to conduct daily remaps of the entire planet.</w:t>
      </w:r>
    </w:p>
    <w:p>
      <w:pPr>
        <w:spacing w:after="0" w:line="178"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color w:val="auto"/>
        </w:rPr>
        <w:t>Our strategy is focused along three distinct business lines: Asset Monitoring, Constellation-as-a-Service (“CaaS”), and Space Systems. These business lines are designed to allow us to serve the existing EO market and begin to democratize access to a host of new EO customers.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August 2023, we strategically realigned our business in an effort to capture high value opportunities in the U.S. market (the Domestication being another step in these efforts), focusing resources on what we believe to be our highest growth opportunities, while sustaining core customers and operating a lean organization. As part of this strategic realignment, we intend to change our jurisdiction of incorporation from the BVI to Delaware, and we refer to this change as the “Domestication.” To effect the Domestication we will, upon final approval of our Board, file a notice of continuation out of the BVI with the British Virgin Islands Registrar of Corporate Affairs and file a certificate of incorporation and a certificate of corporate domestication with the Secretary of State of the State of Delaware. The Domestication will not require shareholder approval under BVI law. We anticipate that the Domestication will become effective in calendar year 2024. For additional information regarding the Domestication, refer to our Registration Statement on Form F-4 (Registration No, 333-275875), filed with the SEC on December 4, 2023.</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continue to expect that our Asset Monitoring business will represent the most predictable revenue stream, and we anticipate that it will be among the primary drivers of the business going forward. Every day, both government and commercial customers task our satellites around the world to monitor assets and keep up with their changing reality. D&amp;I customers look at ports, airfields or build-up of military equipment; mining companies monitor the environmental impact of their operations; and insurance companies are interested in building baselines and quickly assessing property damage as it occurs. With the largest available sub-meter capacity, high quality imagery and superior unit economics, we can support a growing number of customers around the world.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3" w:right="339" w:bottom="1440" w:gutter="0" w:footer="0" w:header="0"/>
        </w:sectPr>
      </w:pPr>
    </w:p>
    <w:bookmarkStart w:id="32" w:name="page33"/>
    <w:bookmarkEnd w:id="32"/>
    <w:p>
      <w:pPr>
        <w:jc w:val="both"/>
        <w:spacing w:after="0" w:line="283" w:lineRule="auto"/>
        <w:rPr>
          <w:sz w:val="20"/>
          <w:szCs w:val="20"/>
          <w:color w:val="auto"/>
        </w:rPr>
      </w:pPr>
      <w:r>
        <w:rPr>
          <w:rFonts w:ascii="Times New Roman" w:cs="Times New Roman" w:eastAsia="Times New Roman" w:hAnsi="Times New Roman"/>
          <w:sz w:val="20"/>
          <w:szCs w:val="20"/>
          <w:color w:val="auto"/>
        </w:rPr>
        <w:t>Our CaaS business offers governments around the world the ability to control satellites above specific areas of interest. We anticipate that our CaaS line of business will, over time, provide us with a strong recurring-revenue base in the government and D&amp;I market.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Space Systems business, effectively satellite sales and support, meets the needs of customers interested in our technology and capability that have a need or desire to own the satellites being utilized to capture imagery. As such, Space Systems leverages our ability to quickly build and launch high quality, sub-meter satellites at a low cost to meet the needs of our customers. We have built a vertically integrated satellite manufacturing capability that is critical in achieving our low-CAPEX cost and ultimately reaching our unit-economic targets for our Asset Monitoring business. Vertical integration enables us to manage our supply chain and navigate evolving global supply issues and challenges with minimal adverse impact to our satellite manufacturing schedule. Our fast satellite build-to-launch cycles can progress from purchase order to commissioning in orbit in as little as eight months.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Workforce Reduction and Cost Saving Initiatives</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May and June 2024, we approved cumulative workforce reductions of approximately 104 employees. The reductions are a part of the Company’s previously announced and ongoing efforts to reduce operating costs and control spending. The Company expects the workforce reductions to result in approximately $9.6 million of annual savings, and as of June 30, 2024, we have incurred approximately $2.0 million in associated severance-related charges that have been or will be paid in 2024. Additionally, the Company expects to reduce non-salary operating expenses by approximately $3.0 million on an annual basis and to moderate capital expenditures to pace investment with revenue and customer growth.</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the Company advances its ongoing evaluation of all strategic options, management continues to focus efforts on moving the Company towards a path to profitability. These efforts include continuing to grow revenue and customer base, reducing the overall cost structure, and moderating capital expenditures.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connection with the aforementioned cost savings initiatives and the evaluation of strategic options, we have paused our US Domestication process.</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recently been successful in deploying and operationalizing its new Mark V satellites. As a result of this successful deployment, the Company expects to reduce investment into its constellation growth initiatives at this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Secured Convertible Notes</w:t>
      </w:r>
    </w:p>
    <w:p>
      <w:pPr>
        <w:spacing w:after="0" w:line="247"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20"/>
          <w:szCs w:val="20"/>
          <w:color w:val="auto"/>
        </w:rPr>
        <w:t>On April 12, 2024, the Company, Nettar, and Holder Representative entered into a Note Purchase Agreement with the Purchaser, pursuant to which Nettar agreed to issue $30 million in aggregate principal amount of Secured Convertible Notes.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 million.</w:t>
      </w:r>
    </w:p>
    <w:p>
      <w:pPr>
        <w:spacing w:after="0" w:line="204" w:lineRule="exact"/>
        <w:rPr>
          <w:sz w:val="20"/>
          <w:szCs w:val="20"/>
          <w:color w:val="auto"/>
        </w:rPr>
      </w:pPr>
    </w:p>
    <w:p>
      <w:pPr>
        <w:jc w:val="both"/>
        <w:ind w:firstLine="243"/>
        <w:spacing w:after="0" w:line="239" w:lineRule="auto"/>
        <w:rPr>
          <w:sz w:val="20"/>
          <w:szCs w:val="20"/>
          <w:color w:val="auto"/>
        </w:rPr>
      </w:pPr>
      <w:r>
        <w:rPr>
          <w:rFonts w:ascii="Times New Roman" w:cs="Times New Roman" w:eastAsia="Times New Roman" w:hAnsi="Times New Roman"/>
          <w:sz w:val="20"/>
          <w:szCs w:val="20"/>
          <w:color w:val="auto"/>
        </w:rPr>
        <w:t>The Secured Convertible Notes are convertible into the Company’s Class A Ordinary Shares at an initial conversion price of $1.20 (833 Class A Ordinary Shares per $1,000 principal amount of Secured Convertible Notes), subject to customary anti-dilution adjustments. The Company’s ability to settle conversions using the Class A Ordinary Shares is subject to CFIUS Approval (as defined in the Secured Convertible Notes). As of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927"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20"/>
          <w:szCs w:val="20"/>
          <w:color w:val="auto"/>
        </w:rPr>
        <w:t>date of this report, CFIUS Approval has not been sought or obtained. See Note 14 (Secured Convertible Notes) for additional details on the Secured Convertible Notes.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Unless this Note has been previously settled or converted in accordance with the other features mentioned within agreement, the entire outstanding principal balance and all unpaid accrued interest shall become fully due and payable on the Maturity Date, April 12, 2028.</w:t>
      </w:r>
    </w:p>
    <w:p>
      <w:pPr>
        <w:spacing w:after="0" w:line="186" w:lineRule="exact"/>
        <w:rPr>
          <w:sz w:val="20"/>
          <w:szCs w:val="20"/>
          <w:color w:val="auto"/>
        </w:rPr>
      </w:pPr>
    </w:p>
    <w:p>
      <w:pPr>
        <w:jc w:val="both"/>
        <w:ind w:firstLine="243"/>
        <w:spacing w:after="0" w:line="239" w:lineRule="auto"/>
        <w:rPr>
          <w:sz w:val="20"/>
          <w:szCs w:val="20"/>
          <w:color w:val="auto"/>
        </w:rPr>
      </w:pPr>
      <w:r>
        <w:rPr>
          <w:rFonts w:ascii="Times New Roman" w:cs="Times New Roman" w:eastAsia="Times New Roman" w:hAnsi="Times New Roman"/>
          <w:sz w:val="20"/>
          <w:szCs w:val="20"/>
          <w:color w:val="auto"/>
        </w:rPr>
        <w:t>On June 7, 2024, the Company filed with the Securities and Exchange Commission a Registration Statement on Form F-3 (File No. 333-280056) (the “Resale Registration Statement”) relating to the $30 million of Secured Convertible Notes. As required by the transaction documents, the Resale Registration Statement registers for resale the Class A Ordinary Shares issuable upon the holder’s exercise of the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Results of Operations</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briefly describes the components of revenue and expenses as presented in our Condensed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an early-stage revenue company with limited commercial operations, and our activities to date have been conducted in South America, Asia, Europe and North America. Currently, we conduct business through one operating segment. The accompanying Condensed Consolidated Financial Statements have been prepared in accordance with U.S. GAAP and the rules and regulations of the SEC.</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include the accounts of the Company and its wholly owned subsidiaries. All intercompany accounts and transactions have been eliminated in consolidation. The Condensed Consolidated Financial Statements are presented in United States thousands of dollars.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Revenue is currently derived from our Asset Monitoring, CaaS and Space Systems business lines. We sell our imagery to Asset Monitoring customers as a single task and recognize revenue at a point-in-time, while we enter into arrangements with CaaS customers that provide a stand-ready commitment and recognize revenue over time. For our Space Systems business lines, we sell our satellites and related products directly to customers and typically recognize revenue at a point in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includes direct costs related to ground stations, cloud and infrastructure costs, and digital image processing.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consist of the costs related to salaries, wages and other benefits, professional fees and stock-based compensation expense related to our back-office functions. Also included in administrative expenses are expense for estimated credit losses on accounts receivable and other administrative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Research and development expenses consist of the costs related to salaries, wages and other benefits, professional fees, stock-based compensation expense and other research and development related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expense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expenses includes depreciation of satellites and other property and equipment.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operating expenses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operating expenses consist of salaries, wages and other benefits, professional fees and stock-based compensation related to our sales and marketing, production and mission operations functions.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income (expense), net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Finance income (expense), net is primarily comprised of interest income earned on our cash and cash equivalents and expense related to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financial instruments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warrant and earn out liabilities are subject to remeasurement to fair value at each balance sheet date. Changes in the fair value of these liabilities are recorded to the Change in fair value of financial instruments in the Condensed Consolidated Statements of Operations and Comprehensive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income, net consists mainly of differences related to foreign exchange gains and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not subject to taxation in the BVI, due to the 0% statutory tax rate, but we may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Key Financial Performance Indicators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monitor a number of financial performance and liquidity measures on a regular basis in order to track the progress of our business. Included in these financial performance and liquidity measures are the non-GAAP measures, Non-GAAP EBITDA, Non-GAAP Adjusted EBITDA and Non-GAAP Free Cash Flow. We believe these measures provide analysts, investors and management with helpful information regarding the underlying operating performance of our business, as they remove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capital expenditures and other non-cash items (i.e., depreciation, embedded derivatives, debt extinguishment and stock-based compensation) which may vary for different companies for reasons unrelated to operating performance. However, different companies may define these terms differently and accordingly comparisons might not be accurate. Non-GAAP EBITDA, Non-GAAP Adjusted EBITDA and Non-GAAP Free Cash Flow are not intended to be a substitute for any GAAP financial measure. For the definitions of Non-GAAP EBITDA, Non-GAAP Adjusted EBITDA and Non-GAAP Free Cash Flow and reconciliations to the most directly comparable GAAP measure, see “Non-GAAP Financial Measure Reconciliations”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The results of certain key business metrics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(29,851)</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(19,114)</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(23,775)</w:t>
            </w:r>
          </w:p>
        </w:tc>
      </w:tr>
      <w:tr>
        <w:trPr>
          <w:trHeight w:val="24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(26,313)</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(36,241)</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Results for the Six Months Ended June 30, 2024 and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Results of operations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8"/>
                <w:szCs w:val="18"/>
                <w:color w:val="auto"/>
              </w:rPr>
            </w:pPr>
          </w:p>
        </w:tc>
        <w:tc>
          <w:tcPr>
            <w:tcW w:w="2880" w:type="dxa"/>
            <w:vAlign w:val="bottom"/>
            <w:gridSpan w:val="3"/>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4"/>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1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8"/>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shown separately below</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r>
      <w:tr>
        <w:trPr>
          <w:trHeight w:val="207"/>
        </w:trPr>
        <w:tc>
          <w:tcPr>
            <w:tcW w:w="49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68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7,036</w:t>
            </w:r>
          </w:p>
        </w:tc>
        <w:tc>
          <w:tcPr>
            <w:tcW w:w="1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19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8"/>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income (expense),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6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w:t>
            </w:r>
          </w:p>
        </w:tc>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49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68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(126)</w:t>
            </w: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(3,764)</w:t>
            </w:r>
          </w:p>
        </w:tc>
        <w:tc>
          <w:tcPr>
            <w:tcW w:w="16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8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Revenue increased $3.6 million, or 114%, to $6.8 million for the six months ended June 30, 2024 from $3.2 million for the six months ended June 30, 2023 driven primarily by an increase in imagery ordered by new and existing Asset Monitoring customers, as well as $0.9 million in revenue generated from the Space Systems business line that was established during the 2023 fiscal year. The composition of the 2024 revenue included $5.1 million attributable to our Asset Monitoring line of business, $0.9 million attributable to our Space Systems line of business, and $0.8 million attributable to our CaaS line of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Cost of sales, exclusive of depreciation, increased $0.4 million, or 21%, to $2.6 million for the six months ended June 30, 2024 from $2.1 million for the six months ended June 30, 2023. The increase was primarily related to the cost of sales attributable to our Space Systems line of business that was established during the 2023 fiscal year.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21"/>
                <w:szCs w:val="21"/>
                <w:color w:val="auto"/>
              </w:rPr>
            </w:pPr>
          </w:p>
        </w:tc>
        <w:tc>
          <w:tcPr>
            <w:tcW w:w="15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5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 related to</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40"/>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Salaries, wages, and other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benefits</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 for estimated credit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on accounts receivable,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recoveries collected</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4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9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administrative expenses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94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14,284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9,867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General and administrative expenses increased $4.4 million, or 45%, to $14.3 million during the six months ended June 30, 2024 from $9.9 million for the six months ended June 30, 2023. The increase was primarily due to a $2.5 million increase in professional fees consisting mainly of the accrued advisory fee pursuant to the subscription agreement entered into with Liberty in connection with going public in 2022, professional fees related to the Secured Convertible Notes and a $0.9 million increase in salaries, wages and other benefits due to severance-related costs resulting from the aforementioned workforce reductions. The increase was offset primarily by a $0.8 million decrease in stock-</w:t>
      </w:r>
    </w:p>
    <w:p>
      <w:pPr>
        <w:spacing w:after="0" w:line="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based compensation due to the aforementioned workforce reductions and a $0.5 million decrease in insurance costs due to rate improvement on certain policies.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9"/>
                <w:szCs w:val="19"/>
                <w:color w:val="auto"/>
              </w:rPr>
            </w:pPr>
          </w:p>
        </w:tc>
        <w:tc>
          <w:tcPr>
            <w:tcW w:w="290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3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70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9"/>
              </w:rPr>
              <w:t>(11)%</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7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(95)</w:t>
            </w: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167</w:t>
            </w: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research and development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7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(54)</w:t>
            </w:r>
          </w:p>
        </w:tc>
      </w:tr>
      <w:tr>
        <w:trPr>
          <w:trHeight w:val="24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(1,302)</w:t>
            </w: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(22)%</w:t>
            </w: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Research and development expenses decreased by $1.3 million, or 22%, to $4.5 million during the six months ended June 30, 2024 from $5.8 million for the six months ended June 30, 2023. The decrease was due primarily to a $0.4 million decrease in salaries, wages and other benefits, as well as a $0.6 million decrease in stock-based compensation, both resulting from workforce reductions. The decrease was also driven primarily by a $0.6 million decrease in other research and development expenses, as a result of continued efforts to reduce operating costs and control spending.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3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Other Operating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9"/>
                <w:szCs w:val="19"/>
                <w:color w:val="auto"/>
              </w:rPr>
            </w:pPr>
          </w:p>
        </w:tc>
        <w:tc>
          <w:tcPr>
            <w:tcW w:w="290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3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4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income and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70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Other operating expenses decreased $4.3 million, or 33%, to $8.8 million for the six months ended June 30, 2024 from $13.1 million for the six months ended June 30, 2023. The decrease was due primarily to a $2.1 million decrease in salaries, wages and other benefits resulting from workforce reductions. The decrease was also driven primarily by a $0.2 million decrease in software expenses and a $0.8 million decrease in professional fees as a result of continued efforts to reduce operating costs and control spending.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Income (expense), net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3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267 %</w:t>
            </w:r>
          </w:p>
        </w:tc>
      </w:tr>
      <w:tr>
        <w:trPr>
          <w:trHeight w:val="24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finance costs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4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70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Finance income was $0.5 million for the six months ended June 30, 2024 compared to finance income of $1.1 million for the six months ended June 30, 2023. The income was primarily due to decreased interest income associated with the generally lower average money market account balance.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financial instruments</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Change in fair value of financial instruments resulted in $5.0 million of expense for the six months ended June 30, 2024 compared to $5.6 million of income for the six months ended June 30, 2023. The change was primarily driven by the change in fair value of the Secured Convertible Notes issued on April 12, 2024. The change was also driven by an increase in fair value of warrant, and earn out liabilities in the</w:t>
      </w:r>
    </w:p>
    <w:p>
      <w:pPr>
        <w:spacing w:after="0" w:line="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six months ended June 30, 2024 and a decrease in fair value of warrant and earn out liabilities in the six months ended June 30, 2023. The change in fair value of these instruments is driven primarily by the price of our Class A Ordinary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 income, net increased $0.4 million or 20% to $2.3 million for the six months ended June 30, 2024 from $1.9 million for the six months ended June 30, 2023. The increase was due to foreign currency exchange differences primarily generated by foreign exchange rate effects in operating activities (where expense is denominated in a foreign currency).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3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Income tax expense decreased $0.3 million or 16% to $1.8 million for the six months ended June 30, 2024 from $2.1 million for the six months ended June 30, 2023. The decrease was primarily due to the decrease of income tax expense in Spain attributable to the utilization of stock compensation deferred tax assets, and the decrease of income tax expense in the United States attributable to the utilization of net operating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 Reconciliations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included reconciliations of non-GAAP EBITDA, non-GAAP Adjusted EBITDA and non-GAAP Free Cash Flow for the six months ended June 30, 2024 and 2023. Non-GAAP EBITDA, Non-GAAP Adjusted EBITDA and Non-GAAP Free Cash Flow are not intended to be a substitute for any GAAP financial measure.</w:t>
      </w:r>
    </w:p>
    <w:p>
      <w:pPr>
        <w:spacing w:after="0" w:line="16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0"/>
          <w:szCs w:val="20"/>
          <w:color w:val="auto"/>
        </w:rPr>
        <w:t xml:space="preserve">We define Non-GAAP EBITDA as net loss excluding interest expense, income taxes, and depreciation and amortization. The Company did not incur amortization expense during the six months ended June 30, 2024 or </w:t>
      </w:r>
      <w:r>
        <w:rPr>
          <w:rFonts w:ascii="Times New Roman" w:cs="Times New Roman" w:eastAsia="Times New Roman" w:hAnsi="Times New Roman"/>
          <w:sz w:val="21"/>
          <w:szCs w:val="21"/>
          <w:color w:val="auto"/>
        </w:rPr>
        <w:t>2023</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define Non-GAAP Adjusted EBITDA as Non-GAAP EBITDA further adjusted to exclude, professional fees related to Secured Convertible Notes, other financial income (which consists of foreign currency gains and losses), changes in the fair value of embedded derivative instruments and stock-based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define Non-GAAP Free Cash Flow as net cash used in operating activities less payments for capital expenditures.</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presents a reconciliation of Non-GAAP EBITDA and Non-GAAP Adjusted EBITDA to its net loss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(29,851)</w:t>
            </w:r>
          </w:p>
        </w:tc>
      </w:tr>
      <w:tr>
        <w:trPr>
          <w:trHeight w:val="213"/>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Plus interest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Plus income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Plus depreciation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w:t>
            </w: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(19,114)</w:t>
            </w:r>
          </w:p>
        </w:tc>
      </w:tr>
      <w:tr>
        <w:trPr>
          <w:trHeight w:val="207"/>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Plus professional fees related to Secured Convertible Notes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other income,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13"/>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change in fair value of financial instruments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21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Plus stock-based compensation</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(23,775)</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presents a reconciliation of Non-GAAP Free Cash Flow to cash flows used in operating activities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(26,313)</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purchases of satellites and other property and equipment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(9,928)</w:t>
            </w: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(36,241)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Capital Resources and Going Concern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cash and cash equivalents are maintained in highly liquid investments with remaining maturities of 90 days or less at the time of purchase. As of June 30, 2024, we have $25.6 million in cash and cash equivalents on hand. Since our formation, we have devoted substantial effort and capital resources to the development of our</w:t>
      </w:r>
    </w:p>
    <w:p>
      <w:pPr>
        <w:sectPr>
          <w:pgSz w:w="11900" w:h="16838" w:orient="portrait"/>
          <w:cols w:equalWidth="0" w:num="1">
            <w:col w:w="11240"/>
          </w:cols>
          <w:pgMar w:left="320" w:top="11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39" w:right="339" w:bottom="1440" w:gutter="0" w:footer="0" w:header="0"/>
          <w:type w:val="continuous"/>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20"/>
          <w:szCs w:val="20"/>
          <w:color w:val="auto"/>
        </w:rPr>
        <w:t>satellite constellation and image technology. As of June 30, 2024, we have an accumulated deficit of $317.1 million, and for the six months ended June 30, 2024, we had net cash used in operating activities of $23.9 million and total Secured Convertible Note principal and accrued interest outstanding of $30.8 million.</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the slower than anticipated revenue growth, we undertook cost and spending control measures in 2023 to maintain an appropriate cash runway. These actions included moderation of capital expenditures and a reduction of certain discretionary spending, as well as a headcount reduction of approximately 110 Full Time Equivalents (“FTEs”). In the second quarter of 2024 we further expanded our spending control measures which included additional workforce reductions of approximately 104 FTEs and additional operating cost reductions. The cumulative impact of the second quarter 2024 workforce reductions and operating expense savings is expected to result in approximately $9.6 million of annual savings and the Company incurred approximately $2.0 million in cumulative severance-related charges that has been paid out or will be paid out in 2024.</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on April 12, 2024, the Company, Nettar, and the Holder Representative entered into the Note Purchase Agreement with the Purchaser, pursuant to which Nettar agreed to issue the Secured Convertible Notes in the aggregate principal amount of $30 million to the Purchaser. The net proceeds from the issuance of the Secured Convertible Notes, after deducting transaction fees and other debt issuance costs, was approximately $27.6 million. Nettar may issue additional Secured Convertible Notes under the terms thereof, provided the aggregate principal outstanding amount does not exceed $50.0 million. The Secured Convertible Notes mature on April 12, 2028. See Note 14 (Secured Convertible Notes) to the unaudited condensed consolidated interim financial statements included elsewhere in this report for additional information regarding the Secured Convertible Notes.</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Currently, we primarily rely on our existing cash and cash equivalents balances to fund our business, including capital expenditures, working capital requirements and anticipated interest payments. Our current and future revenue depends largely on our ability to: 1) utilize our available satellite capacity with new and existing customers and 2)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Management assessed our ability to continue as a going concern and evaluated whether there are certain conditions and events that raise substantial doubt about our ability to continue as a going concern using all information available about the future. Given our current liquidity position, including the obligations under the Secured Convertible Notes, and historical operating losses, we believe there is substantial doubt that we can continue as a going concern. Substantial doubt about an entity’s ability to continue as a going concern exists when conditions and events, considered in the aggregate, indicate that it is probable that the entity will be unable to meet its obligations as they become due within one year after the date that the financial statements are issued.</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however, prepared the unaudited condensed consolidated interim financial statements included elsewhere in this report on a going concern basis, assuming that our financial resources will be sufficient to meet our capital needs over the next twelve months. Accordingly, our financial statements contemplate the realization of assets and satisfaction of liabilities and commitments in the ordinary course of business and do not include adjustments relating to the recoverability and realization of assets and classification of liabilities that might be necessary should we be unable to continue in operation. If we cannot continue as a going concern, adjustments to the carrying values and classification of our assets and liabilities and the reported amounts of income and expenses could be required and could be material. Despite substantial doubt that we will be able to continue as a going concern, we are continuing to take actions to secure sufficient financing (as described below) and thus believe that the application of the going concern assumption for the preparation of the unaudited condensed consolidated interim financial statements is appropriate.</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an effort to address our ability to continue as a going concern, we continue to seek and evaluate opportunities to raise additional capital through the issuance of equity or debt, or a combination of both, such as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927"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20"/>
          <w:szCs w:val="20"/>
          <w:color w:val="auto"/>
        </w:rPr>
        <w:t>the Secured Convertible Notes, as well as evaluating other strategic alternatives. Until such time that we can generate revenue sufficient to achieve profitability, we expect to finance our operations through equity or debt financings, which may not be available to us on the timing needed, on terms that the Company deems to be favorable or at all. To the extent that we raise additional capital through the sale of equity or convertible debt securities, the ownership interest of our stockholders may be diluted, and the terms of these securities may include liquidation or other preferences that adversely affect the rights of holders of Ordinary Shares. Debt financing and equity financing, if available, may involve agreements that include covenants limiting or restricting our ability to take specific actions, such as incurring additional debt, making acquisitions or capital expenditures or declaring dividends. We believe that the net proceeds we receive from any such transactions, together with cash flows from operations of the business, will be sufficient to continue as a going concern. However, if we are unable to obtain sufficient financial resources, our business, financial condition and results of operations will be materially and adversely affected. There can be no assurance that we will be able to obtain the needed financing on acceptable terms or at all.</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Additionally, we are an early-stage growth company in the early stage of development, and subject to a number of risks associated with emerging, technology-oriented companies with a limited operating history, including, but not limited to, dependence on key individuals, a developing business model,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set forth under Item 3D. “Risk Factors” of our Annual Report, could have an adverse impact on our business and financial prospects and cause us to seek additional financing to fund future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Presented below is a summary of the Company’s operating, investing and financing 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(26,313)</w:t>
            </w:r>
          </w:p>
        </w:tc>
      </w:tr>
      <w:tr>
        <w:trPr>
          <w:trHeight w:val="219"/>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(36,260)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cash flows used in operating activities to date have been primarily comprised of costs and expenses related to development of our products, payroll, fluctuations in accounts payable and other current assets and liabilities. As we reduced headcount and discretionary spending, net cash used by operations declined during 2024 as planned.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Cash flows used in operating activities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(29,851)</w:t>
            </w:r>
          </w:p>
        </w:tc>
      </w:tr>
      <w:tr>
        <w:trPr>
          <w:trHeight w:val="216"/>
        </w:trPr>
        <w:tc>
          <w:tcPr>
            <w:tcW w:w="81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Adjustments for the impact of non-cash items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w:t>
            </w: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adjusted for the impact of non-cash items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w:t>
            </w: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 xml:space="preserve">Accounts receivable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6"/>
        </w:trPr>
        <w:tc>
          <w:tcPr>
            <w:tcW w:w="81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Prepaids and other current assets</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6"/>
        </w:trPr>
        <w:tc>
          <w:tcPr>
            <w:tcW w:w="81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Accounts payable </w:t>
            </w:r>
            <w:r>
              <w:rPr>
                <w:rFonts w:ascii="Times New Roman" w:cs="Times New Roman" w:eastAsia="Times New Roman" w:hAnsi="Times New Roman"/>
                <w:sz w:val="21"/>
                <w:szCs w:val="21"/>
                <w:color w:val="auto"/>
                <w:vertAlign w:val="superscript"/>
              </w:rPr>
              <w:t>(4)</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16"/>
        </w:trPr>
        <w:tc>
          <w:tcPr>
            <w:tcW w:w="816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(26,313)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items such as depreciation, changes in the fair value of financial instruments, stock-based compensation expense, changes in foreign currency and others.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timing of collections of accounts receivable from an Asset Monitoring customer.</w:t>
      </w:r>
    </w:p>
    <w:p>
      <w:pPr>
        <w:ind w:left="320" w:hanging="312"/>
        <w:spacing w:after="0" w:line="187"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an additional prepaid insurance policy.</w:t>
      </w: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the timing of payments.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timing of payments of local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cash flows used in investing activities to date have been primarily comprised of purchases of satellite components and other property and equipment.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Net cash used in investing activities was $3.3 million for the six months ended June 30, 2024, compared to $9.9 million for the six months ended June 30, 2023. The decrease in cash used in investing activities was primarily driven by continued efforts to reduce spending.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Net cash provided by financing activities was $27.4 million for the six months ended June 30, 2024, compared to approximately $19 thousand net cash used in financing activities during the six months ended June 30, 2023. The change was due to the net proceeds from the issuance of the Secured Convertible Notes during the six months ended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April 12, 2024, the Company, Nettar, and the Holder Representative entered into the Note Purchase Agreement with the Purchaser, pursuant to which Nettar agreed to issue the Secured Convertible Notes in the aggregate principal amount of $30 million to the Purchaser. For additional detail on the Secured Convertible Notes, see Note 14 (Secured Convertible Notes) to the unaudited condensed consolidated interim financial statements included elsewhere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we had no outstanding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unaudited condensed consolidated financial statements, which have been prepared in accordance with U.S. GAAP. The preparation of our unaudited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43"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20"/>
          <w:szCs w:val="20"/>
          <w:color w:val="auto"/>
        </w:rPr>
        <w:t>recognition, fair value of financial instruments, stock-based compensation, impairment of assets, and income taxes. The application of each of these critical accounting policies and estimates are set forth under Item 5.E “Critical Accounting Policies and Estimates” of our 2023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2024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also rely on certain reduced reporting and other requirements that are otherwise generally applicable to public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Refer to Note 3 (Accounting Standard Updates) in the Condensed Consolidated Financial Statements included elsewhere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0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2024-08-15T15:27:04Z</dcterms:created>
  <dcterms:modified xsi:type="dcterms:W3CDTF">2024-08-15T15:27:04Z</dcterms:modified>
</cp:coreProperties>
</file>