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pPr>
      <w:r>
        <w:rPr>
          <w:rFonts w:ascii="Times New Roman;serif" w:hAnsi="Times New Roman;serif"/>
          <w:b/>
          <w:color w:val="000000"/>
          <w:sz w:val="20"/>
        </w:rPr>
        <w:t>Pursuant to Section</w:t>
      </w:r>
      <w:r>
        <w:rPr>
          <w:color w:val="000000"/>
        </w:rPr>
        <w:t xml:space="preserve"> </w:t>
      </w:r>
      <w:r>
        <w:rPr>
          <w:rFonts w:ascii="Times New Roman;serif" w:hAnsi="Times New Roman;serif"/>
          <w:b/>
          <w:color w:val="000000"/>
          <w:sz w:val="20"/>
        </w:rPr>
        <w:t>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September 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SATELLOGIC INC.</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42"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001-41247</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98-1845974</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210 Delburg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Davidson, NC 28036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(704) 802-2041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58" w:type="dxa"/>
        <w:jc w:val="left"/>
        <w:tblInd w:w="0" w:type="dxa"/>
        <w:tblLayout w:type="fixed"/>
        <w:tblCellMar>
          <w:top w:w="28" w:type="dxa"/>
          <w:left w:w="28" w:type="dxa"/>
          <w:bottom w:w="28" w:type="dxa"/>
          <w:right w:w="28" w:type="dxa"/>
        </w:tblCellMar>
      </w:tblPr>
      <w:tblGrid>
        <w:gridCol w:w="737"/>
        <w:gridCol w:w="647"/>
        <w:gridCol w:w="655"/>
        <w:gridCol w:w="564"/>
        <w:gridCol w:w="564"/>
        <w:gridCol w:w="566"/>
        <w:gridCol w:w="1118"/>
        <w:gridCol w:w="1118"/>
        <w:gridCol w:w="1589"/>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SATL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SATLW</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5.02. Departure of Directors or Certain Officers; Election of Directors; Appointment of Certain Officers; Compensatory Arrangements of Certain Officers.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4, 2026, the Board of Directors (the "Board") of Satellogic Inc. (the "Company") approved the appointment of Frank Dixon Whitworth III ("Mr. Whitworth") as President of the Company, effective as of September 7,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Whitworth, age 59, is a retired Vice Admiral of the U.S. Navy with more than 36 years of commissioned service. He most recently served as the eighth Director of the National Geospatial-Intelligence Agency (the "NGA") from June 2022 until his retirement from the U.S. Navy in December 2025. Prior to the NGA, Mr. Whitworth served as Director for Intelligence of the Joint Staff and held numerous senior intelligence and command positions within the U.S. Navy and the U.S. Department of Defense.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his retirement, Mr. Whitworth founded and has served as Chief Executive Officer of Whitworth Strategies, LLC since January 2026, and served as President of National Security and, subsequently, Chief Executive Officer, of r4 Federal, a subsidiary of r4 Technologies, Inc, from March 2026 until his appointment as President of the Company. Mr. Whitworth has also served as a strategic advisor to the Company since March 2026. Mr. Whitworth was recently appointed to a four year term to serve on the Intelligence Committee for ACEA International.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the Company and Mr. Whitworth entered into an offer letter (the “Offer Letter”) providing for an annual base salary of $400,000, an annual performance bonus with a target amount of $240,000 and an annual restricted stock unit grant with a grant date value of $750,000 (increased to a grant date value of $1,875,000 for Mr. Whitworth’s first year of employment, with no RSU grant in 2027). The initial grant will vest quarterly over a five-year period. All other grants will vest quarterly over a four-year period, unless otherwise provided in the applicable award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Offer Letter further provides that if, in connection with or within 12 months following a change of control, Mr. Whitworth is terminated without cause or resigns with good reason, all of Mr. Whitworth’s then-unvested, time-based equity awards will become fully vested. In the event Mr. Whitworth is terminated without cause other than in connection with a change in control, Mr. Whitworth will receive severance consisting of six months of base salary, a prorated annual performance bonus for the year of termination based on actual performance and acceleration of equity awards that would have vested during the six months following termination. The foregoing change in control and severance benefits are subject to the timely execution of a release of claims against the Company at the time of any qualifying termination.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Whitworth and any other person pursuant to which he was selected as an officer of the Company, and there are no family relationships between Mr. Whitworth and any director or executive officer of the Company. There have been no transactions, and there are no currently proposed transactions, to which the Company was or is a participant and in which Mr. Whitworth had or is to have a direct or indirect material interest that would require disclosure pursuant to Item 404(a) of Regulation 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Offer Letter does not purport to be complete and is qualified in its entirety by reference to the full text of the Offer Letter, a copy of which will be filed as an exhibit to the Company’s Quarterly Report on Form 10-Q for the period ending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bl>
      <w:tblPr>
        <w:tblW w:w="3284" w:type="dxa"/>
        <w:jc w:val="left"/>
        <w:tblInd w:w="0" w:type="dxa"/>
        <w:tblLayout w:type="fixed"/>
        <w:tblCellMar>
          <w:top w:w="28" w:type="dxa"/>
          <w:left w:w="28" w:type="dxa"/>
          <w:bottom w:w="28" w:type="dxa"/>
          <w:right w:w="28" w:type="dxa"/>
        </w:tblCellMar>
      </w:tblPr>
      <w:tblGrid>
        <w:gridCol w:w="124"/>
        <w:gridCol w:w="109"/>
        <w:gridCol w:w="109"/>
        <w:gridCol w:w="291"/>
        <w:gridCol w:w="291"/>
        <w:gridCol w:w="291"/>
        <w:gridCol w:w="601"/>
        <w:gridCol w:w="601"/>
        <w:gridCol w:w="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SATELLOGIC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Emiliano Kargieman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Emiliano Kargieman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5089</Characters>
  <CharactersWithSpaces>5981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