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84669263.xml.htm"/>
      <w:bookmarkStart w:id="1" w:name="kswkform3a_178466926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Williamson Michael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SATELLOGIC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Satellogic Inc.</w:t>
              </w:r>
            </w:hyperlink>
            <w:r>
              <w:rPr/>
              <w:t xml:space="preserve"> [ </w:t>
            </w:r>
            <w:r>
              <w:rPr>
                <w:rFonts w:ascii="Times;serif" w:hAnsi="Times;serif"/>
                <w:color w:val="0000FF"/>
                <w:sz w:val="24"/>
                <w:shd w:fill="FFFFFF" w:val="clear"/>
              </w:rPr>
              <w:t>SATL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06/18/2026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20,787</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Mr. Williamson was granted 20,787 RSUs, all of which will vest on May 31, 2027 subject to Mr. Williamson's continued service through such date. Grantee elected to defer receipt of shares until May 31,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Attorney-in-fact for Michael Williamson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1269" TargetMode="External"/><Relationship Id="rId3" Type="http://schemas.openxmlformats.org/officeDocument/2006/relationships/hyperlink" Target="http://www.sec.gov/cgi-bin/browse-edgar?action=getcompany&amp;CIK=000187431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445</Words>
  <Characters>2441</Characters>
  <CharactersWithSpaces>2833</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