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20-F</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w:t>
      </w:r>
    </w:p>
    <w:tbl>
      <w:tblPr>
        <w:tblW w:w="9882" w:type="dxa"/>
        <w:jc w:val="center"/>
        <w:tblInd w:w="0" w:type="dxa"/>
        <w:tblLayout w:type="fixed"/>
        <w:tblCellMar>
          <w:top w:w="28" w:type="dxa"/>
          <w:left w:w="28" w:type="dxa"/>
          <w:bottom w:w="28" w:type="dxa"/>
          <w:right w:w="28" w:type="dxa"/>
        </w:tblCellMar>
      </w:tblPr>
      <w:tblGrid>
        <w:gridCol w:w="124"/>
        <w:gridCol w:w="109"/>
        <w:gridCol w:w="109"/>
        <w:gridCol w:w="2790"/>
        <w:gridCol w:w="2790"/>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REGISTRATION STATEMENT PURSUANT TO SECTION 12(B) OR 12(G) OF THE SECURITIES EXCHANGE ACT OF 1934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Fiscal Year Ended December 31,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SHELL COMPANY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001-41247</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Satellogic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 applicable</w:t>
      </w:r>
    </w:p>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(Translation of Registrant’s name into English)</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w:t>
      </w:r>
    </w:p>
    <w:tbl>
      <w:tblPr>
        <w:tblW w:w="6807" w:type="dxa"/>
        <w:jc w:val="center"/>
        <w:tblInd w:w="0" w:type="dxa"/>
        <w:tblLayout w:type="fixed"/>
        <w:tblCellMar>
          <w:top w:w="28" w:type="dxa"/>
          <w:left w:w="28" w:type="dxa"/>
          <w:bottom w:w="28" w:type="dxa"/>
          <w:right w:w="28" w:type="dxa"/>
        </w:tblCellMar>
      </w:tblPr>
      <w:tblGrid>
        <w:gridCol w:w="1276"/>
        <w:gridCol w:w="1119"/>
        <w:gridCol w:w="1130"/>
        <w:gridCol w:w="109"/>
        <w:gridCol w:w="109"/>
        <w:gridCol w:w="109"/>
        <w:gridCol w:w="864"/>
        <w:gridCol w:w="864"/>
        <w:gridCol w:w="1227"/>
      </w:tblGrid>
      <w:tr>
        <w:trPr/>
        <w:tc>
          <w:tcPr>
            <w:tcW w:w="127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British Virgin Islands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Ruta 8 Km 17,500, Edificio 300</w:t>
              <w:br/>
              <w:t>Oficina 324 Zonamérica</w:t>
            </w:r>
          </w:p>
          <w:p>
            <w:pPr>
              <w:pStyle w:val="TableContents"/>
              <w:bidi w:val="0"/>
              <w:spacing w:lineRule="auto" w:line="276" w:before="0" w:after="20"/>
              <w:jc w:val="center"/>
              <w:rPr>
                <w:rFonts w:ascii="Times New Roman;sans-serif" w:hAnsi="Times New Roman;sans-serif"/>
                <w:b/>
                <w:color w:val="000000"/>
                <w:sz w:val="20"/>
              </w:rPr>
            </w:pPr>
            <w:r>
              <w:rPr>
                <w:rFonts w:ascii="Times New Roman;sans-serif" w:hAnsi="Times New Roman;sans-serif"/>
                <w:b/>
                <w:color w:val="000000"/>
                <w:sz w:val="20"/>
              </w:rPr>
              <w:t>Montevideo, 91600, Uruguay</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(Jurisdiction of incorporation or organization)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Rick Dunn, Chief Financial Officer, 210 Delburg Street, Davidson, NC 28036, (704) 894-4482</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Telephone, Email and/or Facsimile number and Address of Company Contact Person)</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or to be registered pursuant to Section 12(b) of the Act:</w:t>
      </w:r>
    </w:p>
    <w:tbl>
      <w:tblPr>
        <w:tblW w:w="749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484"/>
        <w:gridCol w:w="484"/>
        <w:gridCol w:w="486"/>
        <w:gridCol w:w="109"/>
        <w:gridCol w:w="109"/>
        <w:gridCol w:w="109"/>
        <w:gridCol w:w="970"/>
        <w:gridCol w:w="970"/>
        <w:gridCol w:w="1374"/>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Capital Market</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SATLW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Capital Market</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or to be registered pursuant to Section 12(g) of the Act: None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for which there is a reporting obligation pursuant to Section 15(d) of the Act: 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the number of outstanding shares of each of the issuer’s classes of capital or common stock as of December 31, 2023: 76,721,343 Class A ordinary shares and 49,184,868 warrants to purchase Class A ordinary shares and 13,582,642 Class B ordinary shares.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if the registrant is a well-known seasoned issuer, as defined in Rule 405 of the Securities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x</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If this report is an annual or transition report, indicate by check mark if the registrant is not required to file reports pursuant to Section 13 or 15(d) of the Securities Exchange Act of 1934.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x</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or an emerging growth company. See definition of “large accelerated filer,” “accelerated filer,” and “emerging growth company” in Rule 12b-2 of the Exchange Act. </w:t>
      </w:r>
    </w:p>
    <w:tbl>
      <w:tblPr>
        <w:tblW w:w="9801"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479"/>
        <w:gridCol w:w="479"/>
        <w:gridCol w:w="481"/>
        <w:gridCol w:w="109"/>
        <w:gridCol w:w="109"/>
        <w:gridCol w:w="109"/>
        <w:gridCol w:w="109"/>
        <w:gridCol w:w="109"/>
        <w:gridCol w:w="109"/>
        <w:gridCol w:w="599"/>
        <w:gridCol w:w="599"/>
        <w:gridCol w:w="601"/>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left"/>
        <w:rPr/>
      </w:pPr>
      <w:r>
        <w:rPr>
          <w:rFonts w:ascii="Times New Roman;sans-serif" w:hAnsi="Times New Roman;sans-serif"/>
          <w:b w:val="false"/>
          <w:color w:val="000000"/>
          <w:sz w:val="20"/>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color w:val="000000"/>
        </w:rPr>
        <w:t xml:space="preserve">† </w:t>
      </w:r>
      <w:r>
        <w:rPr>
          <w:rFonts w:ascii="Times New Roman;sans-serif" w:hAnsi="Times New Roman;sans-serif"/>
          <w:b w:val="false"/>
          <w:color w:val="000000"/>
          <w:sz w:val="20"/>
        </w:rPr>
        <w:t xml:space="preserve">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0"/>
        </w:rPr>
        <w:t xml:space="preserve">The term “new or revised financial accounting standard” refers to any update issued by the Financial Accounting Standards Board to its Accounting Standards Codification after April 5, 2012. </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which basis of accounting the registrant has used to prepare the financial statements included in this filing: </w:t>
      </w:r>
    </w:p>
    <w:tbl>
      <w:tblPr>
        <w:tblW w:w="10205" w:type="dxa"/>
        <w:jc w:val="left"/>
        <w:tblInd w:w="0" w:type="dxa"/>
        <w:tblLayout w:type="fixed"/>
        <w:tblCellMar>
          <w:top w:w="28" w:type="dxa"/>
          <w:left w:w="28" w:type="dxa"/>
          <w:bottom w:w="28" w:type="dxa"/>
          <w:right w:w="28" w:type="dxa"/>
        </w:tblCellMar>
      </w:tblPr>
      <w:tblGrid>
        <w:gridCol w:w="336"/>
        <w:gridCol w:w="296"/>
        <w:gridCol w:w="298"/>
        <w:gridCol w:w="109"/>
        <w:gridCol w:w="109"/>
        <w:gridCol w:w="109"/>
        <w:gridCol w:w="109"/>
        <w:gridCol w:w="109"/>
        <w:gridCol w:w="109"/>
        <w:gridCol w:w="2343"/>
        <w:gridCol w:w="2343"/>
        <w:gridCol w:w="2350"/>
        <w:gridCol w:w="109"/>
        <w:gridCol w:w="109"/>
        <w:gridCol w:w="109"/>
        <w:gridCol w:w="109"/>
        <w:gridCol w:w="109"/>
        <w:gridCol w:w="109"/>
        <w:gridCol w:w="185"/>
        <w:gridCol w:w="185"/>
        <w:gridCol w:w="186"/>
        <w:gridCol w:w="109"/>
        <w:gridCol w:w="109"/>
        <w:gridCol w:w="157"/>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Financial Reporting Standards as issued by the International Accounting Standards Board</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“Other” has been checked in response to the previous question indicate by check mark which financial statement item the registrant has elected to follow. Item 17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Item 18 </w:t>
      </w:r>
      <w:r>
        <w:rPr>
          <w:rFonts w:ascii="Wingdings;sans-serif" w:hAnsi="Wingdings;sans-serif"/>
          <w:b w:val="false"/>
          <w:color w:val="000000"/>
          <w:sz w:val="20"/>
        </w:rPr>
        <w:t>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this is an annual report, 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OF CONTENTS</w:t>
      </w:r>
    </w:p>
    <w:tbl>
      <w:tblPr>
        <w:tblW w:w="10035" w:type="dxa"/>
        <w:jc w:val="center"/>
        <w:tblInd w:w="0" w:type="dxa"/>
        <w:tblLayout w:type="fixed"/>
        <w:tblCellMar>
          <w:top w:w="28" w:type="dxa"/>
          <w:left w:w="28" w:type="dxa"/>
          <w:bottom w:w="28" w:type="dxa"/>
          <w:right w:w="28" w:type="dxa"/>
        </w:tblCellMar>
      </w:tblPr>
      <w:tblGrid>
        <w:gridCol w:w="374"/>
        <w:gridCol w:w="328"/>
        <w:gridCol w:w="333"/>
        <w:gridCol w:w="2822"/>
        <w:gridCol w:w="2822"/>
        <w:gridCol w:w="2845"/>
        <w:gridCol w:w="149"/>
        <w:gridCol w:w="149"/>
        <w:gridCol w:w="213"/>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035"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84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19">
              <w:r>
                <w:rPr>
                  <w:rStyle w:val="InternetLink"/>
                  <w:rFonts w:ascii="Times New Roman;sans-serif" w:hAnsi="Times New Roman;sans-serif"/>
                  <w:b w:val="false"/>
                  <w:strike w:val="false"/>
                  <w:dstrike w:val="false"/>
                  <w:color w:val="000000"/>
                  <w:sz w:val="20"/>
                  <w:u w:val="none"/>
                  <w:effect w:val="none"/>
                </w:rPr>
                <w:t>ITEM 1.</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19">
              <w:r>
                <w:rPr>
                  <w:rStyle w:val="InternetLink"/>
                  <w:rFonts w:ascii="Times New Roman;sans-serif" w:hAnsi="Times New Roman;sans-serif"/>
                  <w:b w:val="false"/>
                  <w:color w:val="0000FF"/>
                  <w:sz w:val="20"/>
                  <w:u w:val="single"/>
                </w:rPr>
                <w:t>IDENTITY OF DIRECTORS, SENIOR MANAGEMENT AND ADVISERS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19">
              <w:r>
                <w:rPr>
                  <w:rStyle w:val="InternetLink"/>
                  <w:rFonts w:ascii="Times New Roman;sans-serif" w:hAnsi="Times New Roman;sans-serif"/>
                  <w:b w:val="false"/>
                  <w:strike w:val="false"/>
                  <w:dstrike w:val="false"/>
                  <w:color w:val="000000"/>
                  <w:sz w:val="20"/>
                  <w:u w:val="none"/>
                  <w:effect w:val="none"/>
                </w:rPr>
                <w:t>6</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22">
              <w:r>
                <w:rPr>
                  <w:rStyle w:val="InternetLink"/>
                  <w:rFonts w:ascii="Times New Roman;sans-serif" w:hAnsi="Times New Roman;sans-serif"/>
                  <w:b w:val="false"/>
                  <w:strike w:val="false"/>
                  <w:dstrike w:val="false"/>
                  <w:color w:val="000000"/>
                  <w:sz w:val="20"/>
                  <w:u w:val="none"/>
                  <w:effect w:val="none"/>
                </w:rPr>
                <w:t>ITEM 2.</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22">
              <w:r>
                <w:rPr>
                  <w:rStyle w:val="InternetLink"/>
                  <w:rFonts w:ascii="Times New Roman;sans-serif" w:hAnsi="Times New Roman;sans-serif"/>
                  <w:b w:val="false"/>
                  <w:color w:val="0000FF"/>
                  <w:sz w:val="20"/>
                  <w:u w:val="single"/>
                </w:rPr>
                <w:t>OFFER STATISTICS AND EXPECTED TIMETABLE</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22">
              <w:r>
                <w:rPr>
                  <w:rStyle w:val="InternetLink"/>
                  <w:rFonts w:ascii="Times New Roman;sans-serif" w:hAnsi="Times New Roman;sans-serif"/>
                  <w:b w:val="false"/>
                  <w:strike w:val="false"/>
                  <w:dstrike w:val="false"/>
                  <w:color w:val="000000"/>
                  <w:sz w:val="20"/>
                  <w:u w:val="none"/>
                  <w:effect w:val="none"/>
                </w:rPr>
                <w:t>7</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25">
              <w:r>
                <w:rPr>
                  <w:rStyle w:val="InternetLink"/>
                  <w:rFonts w:ascii="Times New Roman;sans-serif" w:hAnsi="Times New Roman;sans-serif"/>
                  <w:b w:val="false"/>
                  <w:strike w:val="false"/>
                  <w:dstrike w:val="false"/>
                  <w:color w:val="000000"/>
                  <w:sz w:val="20"/>
                  <w:u w:val="none"/>
                  <w:effect w:val="none"/>
                </w:rPr>
                <w:t>ITEM 3.</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25">
              <w:r>
                <w:rPr>
                  <w:rStyle w:val="InternetLink"/>
                  <w:rFonts w:ascii="Times New Roman;sans-serif" w:hAnsi="Times New Roman;sans-serif"/>
                  <w:b w:val="false"/>
                  <w:color w:val="0000FF"/>
                  <w:sz w:val="20"/>
                  <w:u w:val="single"/>
                </w:rPr>
                <w:t>KEY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25">
              <w:r>
                <w:rPr>
                  <w:rStyle w:val="InternetLink"/>
                  <w:rFonts w:ascii="Times New Roman;sans-serif" w:hAnsi="Times New Roman;sans-serif"/>
                  <w:b w:val="false"/>
                  <w:strike w:val="false"/>
                  <w:dstrike w:val="false"/>
                  <w:color w:val="000000"/>
                  <w:sz w:val="20"/>
                  <w:u w:val="none"/>
                  <w:effect w:val="none"/>
                </w:rPr>
                <w:t>7</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40">
              <w:r>
                <w:rPr>
                  <w:rStyle w:val="InternetLink"/>
                  <w:rFonts w:ascii="Times New Roman;sans-serif" w:hAnsi="Times New Roman;sans-serif"/>
                  <w:b w:val="false"/>
                  <w:strike w:val="false"/>
                  <w:dstrike w:val="false"/>
                  <w:color w:val="000000"/>
                  <w:sz w:val="20"/>
                  <w:u w:val="none"/>
                  <w:effect w:val="none"/>
                </w:rPr>
                <w:t>ITEM 4.</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40">
              <w:r>
                <w:rPr>
                  <w:rStyle w:val="InternetLink"/>
                  <w:rFonts w:ascii="Times New Roman;sans-serif" w:hAnsi="Times New Roman;sans-serif"/>
                  <w:b w:val="false"/>
                  <w:color w:val="0000FF"/>
                  <w:sz w:val="20"/>
                  <w:u w:val="single"/>
                </w:rPr>
                <w:t>INFORMATION ON THE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40">
              <w:r>
                <w:rPr>
                  <w:rStyle w:val="InternetLink"/>
                  <w:rFonts w:ascii="Times New Roman;sans-serif" w:hAnsi="Times New Roman;sans-serif"/>
                  <w:b w:val="false"/>
                  <w:strike w:val="false"/>
                  <w:dstrike w:val="false"/>
                  <w:color w:val="000000"/>
                  <w:sz w:val="20"/>
                  <w:u w:val="none"/>
                  <w:effect w:val="none"/>
                </w:rPr>
                <w:t>43</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58">
              <w:r>
                <w:rPr>
                  <w:rStyle w:val="InternetLink"/>
                  <w:rFonts w:ascii="Times New Roman;sans-serif" w:hAnsi="Times New Roman;sans-serif"/>
                  <w:b w:val="false"/>
                  <w:strike w:val="false"/>
                  <w:dstrike w:val="false"/>
                  <w:color w:val="000000"/>
                  <w:sz w:val="20"/>
                  <w:u w:val="none"/>
                  <w:effect w:val="none"/>
                </w:rPr>
                <w:t>ITEM 5.</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58">
              <w:r>
                <w:rPr>
                  <w:rStyle w:val="InternetLink"/>
                  <w:rFonts w:ascii="Times New Roman;sans-serif" w:hAnsi="Times New Roman;sans-serif"/>
                  <w:b w:val="false"/>
                  <w:color w:val="0000FF"/>
                  <w:sz w:val="20"/>
                  <w:u w:val="single"/>
                </w:rPr>
                <w:t>OPERATING AND FINANCIAL REVIEW AND PROSPECTS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58">
              <w:r>
                <w:rPr>
                  <w:rStyle w:val="InternetLink"/>
                  <w:rFonts w:ascii="Times New Roman;sans-serif" w:hAnsi="Times New Roman;sans-serif"/>
                  <w:b w:val="false"/>
                  <w:strike w:val="false"/>
                  <w:dstrike w:val="false"/>
                  <w:color w:val="000000"/>
                  <w:sz w:val="20"/>
                  <w:u w:val="none"/>
                  <w:effect w:val="none"/>
                </w:rPr>
                <w:t>59</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76">
              <w:r>
                <w:rPr>
                  <w:rStyle w:val="InternetLink"/>
                  <w:rFonts w:ascii="Times New Roman;sans-serif" w:hAnsi="Times New Roman;sans-serif"/>
                  <w:b w:val="false"/>
                  <w:strike w:val="false"/>
                  <w:dstrike w:val="false"/>
                  <w:color w:val="000000"/>
                  <w:sz w:val="20"/>
                  <w:u w:val="none"/>
                  <w:effect w:val="none"/>
                </w:rPr>
                <w:t>ITEM 6.</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76">
              <w:r>
                <w:rPr>
                  <w:rStyle w:val="InternetLink"/>
                  <w:rFonts w:ascii="Times New Roman;sans-serif" w:hAnsi="Times New Roman;sans-serif"/>
                  <w:b w:val="false"/>
                  <w:color w:val="0000FF"/>
                  <w:sz w:val="20"/>
                  <w:u w:val="single"/>
                </w:rPr>
                <w:t>DIRECTORS, SENIOR MANAGEMENT AND EMPLOYEES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76">
              <w:r>
                <w:rPr>
                  <w:rStyle w:val="InternetLink"/>
                  <w:rFonts w:ascii="Times New Roman;sans-serif" w:hAnsi="Times New Roman;sans-serif"/>
                  <w:b w:val="false"/>
                  <w:strike w:val="false"/>
                  <w:dstrike w:val="false"/>
                  <w:color w:val="000000"/>
                  <w:sz w:val="20"/>
                  <w:u w:val="none"/>
                  <w:effect w:val="none"/>
                </w:rPr>
                <w:t>71</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94">
              <w:r>
                <w:rPr>
                  <w:rStyle w:val="InternetLink"/>
                  <w:rFonts w:ascii="Times New Roman;sans-serif" w:hAnsi="Times New Roman;sans-serif"/>
                  <w:b w:val="false"/>
                  <w:strike w:val="false"/>
                  <w:dstrike w:val="false"/>
                  <w:color w:val="000000"/>
                  <w:sz w:val="20"/>
                  <w:u w:val="none"/>
                  <w:effect w:val="none"/>
                </w:rPr>
                <w:t>ITEM 7.</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94">
              <w:r>
                <w:rPr>
                  <w:rStyle w:val="InternetLink"/>
                  <w:rFonts w:ascii="Times New Roman;sans-serif" w:hAnsi="Times New Roman;sans-serif"/>
                  <w:b w:val="false"/>
                  <w:color w:val="0000FF"/>
                  <w:sz w:val="20"/>
                  <w:u w:val="single"/>
                </w:rPr>
                <w:t>MAJOR SHAREHOLDERS AND RELATED PARTY TRANSACTIONS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94">
              <w:r>
                <w:rPr>
                  <w:rStyle w:val="InternetLink"/>
                  <w:rFonts w:ascii="Times New Roman;sans-serif" w:hAnsi="Times New Roman;sans-serif"/>
                  <w:b w:val="false"/>
                  <w:strike w:val="false"/>
                  <w:dstrike w:val="false"/>
                  <w:color w:val="000000"/>
                  <w:sz w:val="20"/>
                  <w:u w:val="none"/>
                  <w:effect w:val="none"/>
                </w:rPr>
                <w:t>81</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106">
              <w:r>
                <w:rPr>
                  <w:rStyle w:val="InternetLink"/>
                  <w:rFonts w:ascii="Times New Roman;sans-serif" w:hAnsi="Times New Roman;sans-serif"/>
                  <w:b w:val="false"/>
                  <w:strike w:val="false"/>
                  <w:dstrike w:val="false"/>
                  <w:color w:val="000000"/>
                  <w:sz w:val="20"/>
                  <w:u w:val="none"/>
                  <w:effect w:val="none"/>
                </w:rPr>
                <w:t>ITEM 8.</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106">
              <w:r>
                <w:rPr>
                  <w:rStyle w:val="InternetLink"/>
                  <w:rFonts w:ascii="Times New Roman;sans-serif" w:hAnsi="Times New Roman;sans-serif"/>
                  <w:b w:val="false"/>
                  <w:color w:val="0000FF"/>
                  <w:sz w:val="20"/>
                  <w:u w:val="singl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106">
              <w:r>
                <w:rPr>
                  <w:rStyle w:val="InternetLink"/>
                  <w:rFonts w:ascii="Times New Roman;sans-serif" w:hAnsi="Times New Roman;sans-serif"/>
                  <w:b w:val="false"/>
                  <w:strike w:val="false"/>
                  <w:dstrike w:val="false"/>
                  <w:color w:val="000000"/>
                  <w:sz w:val="20"/>
                  <w:u w:val="none"/>
                  <w:effect w:val="none"/>
                </w:rPr>
                <w:t>84</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211">
              <w:r>
                <w:rPr>
                  <w:rStyle w:val="InternetLink"/>
                  <w:rFonts w:ascii="Times New Roman;sans-serif" w:hAnsi="Times New Roman;sans-serif"/>
                  <w:b w:val="false"/>
                  <w:strike w:val="false"/>
                  <w:dstrike w:val="false"/>
                  <w:color w:val="000000"/>
                  <w:sz w:val="20"/>
                  <w:u w:val="none"/>
                  <w:effect w:val="none"/>
                </w:rPr>
                <w:t>ITEM 9.</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211">
              <w:r>
                <w:rPr>
                  <w:rStyle w:val="InternetLink"/>
                  <w:rFonts w:ascii="Times New Roman;sans-serif" w:hAnsi="Times New Roman;sans-serif"/>
                  <w:b w:val="false"/>
                  <w:color w:val="0000FF"/>
                  <w:sz w:val="20"/>
                  <w:u w:val="single"/>
                </w:rPr>
                <w:t>THE OFFER AND LISTING</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211">
              <w:r>
                <w:rPr>
                  <w:rStyle w:val="InternetLink"/>
                  <w:rFonts w:ascii="Times New Roman;sans-serif" w:hAnsi="Times New Roman;sans-serif"/>
                  <w:b w:val="false"/>
                  <w:strike w:val="false"/>
                  <w:dstrike w:val="false"/>
                  <w:color w:val="000000"/>
                  <w:sz w:val="20"/>
                  <w:u w:val="none"/>
                  <w:effect w:val="none"/>
                </w:rPr>
                <w:t>93</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232">
              <w:r>
                <w:rPr>
                  <w:rStyle w:val="InternetLink"/>
                  <w:rFonts w:ascii="Times New Roman;sans-serif" w:hAnsi="Times New Roman;sans-serif"/>
                  <w:b w:val="false"/>
                  <w:strike w:val="false"/>
                  <w:dstrike w:val="false"/>
                  <w:color w:val="000000"/>
                  <w:sz w:val="20"/>
                  <w:u w:val="none"/>
                  <w:effect w:val="none"/>
                </w:rPr>
                <w:t>ITEM 10.</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232">
              <w:r>
                <w:rPr>
                  <w:rStyle w:val="InternetLink"/>
                  <w:rFonts w:ascii="Times New Roman;sans-serif" w:hAnsi="Times New Roman;sans-serif"/>
                  <w:b w:val="false"/>
                  <w:color w:val="0000FF"/>
                  <w:sz w:val="20"/>
                  <w:u w:val="single"/>
                </w:rPr>
                <w:t>ADDITIONAL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232">
              <w:r>
                <w:rPr>
                  <w:rStyle w:val="InternetLink"/>
                  <w:rFonts w:ascii="Times New Roman;sans-serif" w:hAnsi="Times New Roman;sans-serif"/>
                  <w:b w:val="false"/>
                  <w:strike w:val="false"/>
                  <w:dstrike w:val="false"/>
                  <w:color w:val="000000"/>
                  <w:sz w:val="20"/>
                  <w:u w:val="none"/>
                  <w:effect w:val="none"/>
                </w:rPr>
                <w:t>93</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262">
              <w:r>
                <w:rPr>
                  <w:rStyle w:val="InternetLink"/>
                  <w:rFonts w:ascii="Times New Roman;sans-serif" w:hAnsi="Times New Roman;sans-serif"/>
                  <w:b w:val="false"/>
                  <w:strike w:val="false"/>
                  <w:dstrike w:val="false"/>
                  <w:color w:val="000000"/>
                  <w:sz w:val="20"/>
                  <w:u w:val="none"/>
                  <w:effect w:val="none"/>
                </w:rPr>
                <w:t>ITEM 11.</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262">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262">
              <w:r>
                <w:rPr>
                  <w:rStyle w:val="InternetLink"/>
                  <w:rFonts w:ascii="Times New Roman;sans-serif" w:hAnsi="Times New Roman;sans-serif"/>
                  <w:b w:val="false"/>
                  <w:strike w:val="false"/>
                  <w:dstrike w:val="false"/>
                  <w:color w:val="000000"/>
                  <w:sz w:val="20"/>
                  <w:u w:val="none"/>
                  <w:effect w:val="none"/>
                </w:rPr>
                <w:t>102</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265">
              <w:r>
                <w:rPr>
                  <w:rStyle w:val="InternetLink"/>
                  <w:rFonts w:ascii="Times New Roman;sans-serif" w:hAnsi="Times New Roman;sans-serif"/>
                  <w:b w:val="false"/>
                  <w:strike w:val="false"/>
                  <w:dstrike w:val="false"/>
                  <w:color w:val="000000"/>
                  <w:sz w:val="20"/>
                  <w:u w:val="none"/>
                  <w:effect w:val="none"/>
                </w:rPr>
                <w:t>ITEM 12.</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265">
              <w:r>
                <w:rPr>
                  <w:rStyle w:val="InternetLink"/>
                  <w:rFonts w:ascii="Times New Roman;sans-serif" w:hAnsi="Times New Roman;sans-serif"/>
                  <w:b w:val="false"/>
                  <w:color w:val="0000FF"/>
                  <w:sz w:val="20"/>
                  <w:u w:val="single"/>
                </w:rPr>
                <w:t>DESCRIPTION OF SECURITIES OTHER THAN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265">
              <w:r>
                <w:rPr>
                  <w:rStyle w:val="InternetLink"/>
                  <w:rFonts w:ascii="Times New Roman;sans-serif" w:hAnsi="Times New Roman;sans-serif"/>
                  <w:b w:val="false"/>
                  <w:strike w:val="false"/>
                  <w:dstrike w:val="false"/>
                  <w:color w:val="000000"/>
                  <w:sz w:val="20"/>
                  <w:u w:val="none"/>
                  <w:effect w:val="none"/>
                </w:rPr>
                <w:t>102</w:t>
              </w:r>
            </w:hyperlink>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271">
              <w:r>
                <w:rPr>
                  <w:rStyle w:val="InternetLink"/>
                  <w:rFonts w:ascii="Times New Roman;sans-serif" w:hAnsi="Times New Roman;sans-serif"/>
                  <w:b w:val="false"/>
                  <w:strike w:val="false"/>
                  <w:dstrike w:val="false"/>
                  <w:color w:val="000000"/>
                  <w:sz w:val="20"/>
                  <w:u w:val="none"/>
                  <w:effect w:val="none"/>
                </w:rPr>
                <w:t>ITEM 13.</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271">
              <w:r>
                <w:rPr>
                  <w:rStyle w:val="InternetLink"/>
                  <w:rFonts w:ascii="Times New Roman;sans-serif" w:hAnsi="Times New Roman;sans-serif"/>
                  <w:b w:val="false"/>
                  <w:color w:val="0000FF"/>
                  <w:sz w:val="20"/>
                  <w:u w:val="single"/>
                </w:rPr>
                <w:t>DEFAULTS, DIVIDEND ARREARAGES AND DELINQUENCIES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271">
              <w:r>
                <w:rPr>
                  <w:rStyle w:val="InternetLink"/>
                  <w:rFonts w:ascii="Times New Roman;sans-serif" w:hAnsi="Times New Roman;sans-serif"/>
                  <w:b w:val="false"/>
                  <w:strike w:val="false"/>
                  <w:dstrike w:val="false"/>
                  <w:color w:val="000000"/>
                  <w:sz w:val="20"/>
                  <w:u w:val="none"/>
                  <w:effect w:val="none"/>
                </w:rPr>
                <w:t>103</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274">
              <w:r>
                <w:rPr>
                  <w:rStyle w:val="InternetLink"/>
                  <w:rFonts w:ascii="Times New Roman;sans-serif" w:hAnsi="Times New Roman;sans-serif"/>
                  <w:b w:val="false"/>
                  <w:strike w:val="false"/>
                  <w:dstrike w:val="false"/>
                  <w:color w:val="000000"/>
                  <w:sz w:val="20"/>
                  <w:u w:val="none"/>
                  <w:effect w:val="none"/>
                </w:rPr>
                <w:t>ITEM 14.</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274">
              <w:r>
                <w:rPr>
                  <w:rStyle w:val="InternetLink"/>
                  <w:rFonts w:ascii="Times New Roman;sans-serif" w:hAnsi="Times New Roman;sans-serif"/>
                  <w:b w:val="false"/>
                  <w:color w:val="0000FF"/>
                  <w:sz w:val="20"/>
                  <w:u w:val="single"/>
                </w:rPr>
                <w:t>MATERIAL MODIFICATIONS TO THE RIGHTS OF SECURITY HOLDERS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274">
              <w:r>
                <w:rPr>
                  <w:rStyle w:val="InternetLink"/>
                  <w:rFonts w:ascii="Times New Roman;sans-serif" w:hAnsi="Times New Roman;sans-serif"/>
                  <w:b w:val="false"/>
                  <w:strike w:val="false"/>
                  <w:dstrike w:val="false"/>
                  <w:color w:val="000000"/>
                  <w:sz w:val="20"/>
                  <w:u w:val="none"/>
                  <w:effect w:val="none"/>
                </w:rPr>
                <w:t>103</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277">
              <w:r>
                <w:rPr>
                  <w:rStyle w:val="InternetLink"/>
                  <w:rFonts w:ascii="Times New Roman;sans-serif" w:hAnsi="Times New Roman;sans-serif"/>
                  <w:b w:val="false"/>
                  <w:strike w:val="false"/>
                  <w:dstrike w:val="false"/>
                  <w:color w:val="000000"/>
                  <w:sz w:val="20"/>
                  <w:u w:val="none"/>
                  <w:effect w:val="none"/>
                </w:rPr>
                <w:t>ITEM 15.</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277">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277">
              <w:r>
                <w:rPr>
                  <w:rStyle w:val="InternetLink"/>
                  <w:rFonts w:ascii="Times New Roman;sans-serif" w:hAnsi="Times New Roman;sans-serif"/>
                  <w:b w:val="false"/>
                  <w:strike w:val="false"/>
                  <w:dstrike w:val="false"/>
                  <w:color w:val="000000"/>
                  <w:sz w:val="20"/>
                  <w:u w:val="none"/>
                  <w:effect w:val="none"/>
                </w:rPr>
                <w:t>103</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283">
              <w:r>
                <w:rPr>
                  <w:rStyle w:val="InternetLink"/>
                  <w:rFonts w:ascii="Times New Roman;sans-serif" w:hAnsi="Times New Roman;sans-serif"/>
                  <w:b w:val="false"/>
                  <w:strike w:val="false"/>
                  <w:dstrike w:val="false"/>
                  <w:color w:val="000000"/>
                  <w:sz w:val="20"/>
                  <w:u w:val="none"/>
                  <w:effect w:val="none"/>
                </w:rPr>
                <w:t>ITEM 16A.</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283">
              <w:r>
                <w:rPr>
                  <w:rStyle w:val="InternetLink"/>
                  <w:rFonts w:ascii="Times New Roman;sans-serif" w:hAnsi="Times New Roman;sans-serif"/>
                  <w:b w:val="false"/>
                  <w:color w:val="0000FF"/>
                  <w:sz w:val="20"/>
                  <w:u w:val="single"/>
                </w:rPr>
                <w:t>AUDIT COMMITTEE FINANCIAL EXPERT</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283">
              <w:r>
                <w:rPr>
                  <w:rStyle w:val="InternetLink"/>
                  <w:rFonts w:ascii="Times New Roman;sans-serif" w:hAnsi="Times New Roman;sans-serif"/>
                  <w:b w:val="false"/>
                  <w:strike w:val="false"/>
                  <w:dstrike w:val="false"/>
                  <w:color w:val="000000"/>
                  <w:sz w:val="20"/>
                  <w:u w:val="none"/>
                  <w:effect w:val="none"/>
                </w:rPr>
                <w:t>104</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286">
              <w:r>
                <w:rPr>
                  <w:rStyle w:val="InternetLink"/>
                  <w:rFonts w:ascii="Times New Roman;sans-serif" w:hAnsi="Times New Roman;sans-serif"/>
                  <w:b w:val="false"/>
                  <w:strike w:val="false"/>
                  <w:dstrike w:val="false"/>
                  <w:color w:val="000000"/>
                  <w:sz w:val="20"/>
                  <w:u w:val="none"/>
                  <w:effect w:val="none"/>
                </w:rPr>
                <w:t>ITEM 16B.</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286">
              <w:r>
                <w:rPr>
                  <w:rStyle w:val="InternetLink"/>
                  <w:rFonts w:ascii="Times New Roman;sans-serif" w:hAnsi="Times New Roman;sans-serif"/>
                  <w:b w:val="false"/>
                  <w:color w:val="0000FF"/>
                  <w:sz w:val="20"/>
                  <w:u w:val="single"/>
                </w:rPr>
                <w:t>CODE OF ETHICS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286">
              <w:r>
                <w:rPr>
                  <w:rStyle w:val="InternetLink"/>
                  <w:rFonts w:ascii="Times New Roman;sans-serif" w:hAnsi="Times New Roman;sans-serif"/>
                  <w:b w:val="false"/>
                  <w:strike w:val="false"/>
                  <w:dstrike w:val="false"/>
                  <w:color w:val="000000"/>
                  <w:sz w:val="20"/>
                  <w:u w:val="none"/>
                  <w:effect w:val="none"/>
                </w:rPr>
                <w:t>104</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289">
              <w:r>
                <w:rPr>
                  <w:rStyle w:val="InternetLink"/>
                  <w:rFonts w:ascii="Times New Roman;sans-serif" w:hAnsi="Times New Roman;sans-serif"/>
                  <w:b w:val="false"/>
                  <w:strike w:val="false"/>
                  <w:dstrike w:val="false"/>
                  <w:color w:val="000000"/>
                  <w:sz w:val="20"/>
                  <w:u w:val="none"/>
                  <w:effect w:val="none"/>
                </w:rPr>
                <w:t>ITEM 16C.</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289">
              <w:r>
                <w:rPr>
                  <w:rStyle w:val="InternetLink"/>
                  <w:rFonts w:ascii="Times New Roman;sans-serif" w:hAnsi="Times New Roman;sans-serif"/>
                  <w:b w:val="false"/>
                  <w:color w:val="0000FF"/>
                  <w:sz w:val="20"/>
                  <w:u w:val="single"/>
                </w:rPr>
                <w:t>PRINCIPAL ACCOUNTANT FEES AND SERVICES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289">
              <w:r>
                <w:rPr>
                  <w:rStyle w:val="InternetLink"/>
                  <w:rFonts w:ascii="Times New Roman;sans-serif" w:hAnsi="Times New Roman;sans-serif"/>
                  <w:b w:val="false"/>
                  <w:strike w:val="false"/>
                  <w:dstrike w:val="false"/>
                  <w:color w:val="000000"/>
                  <w:sz w:val="20"/>
                  <w:u w:val="none"/>
                  <w:effect w:val="none"/>
                </w:rPr>
                <w:t>104</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292">
              <w:r>
                <w:rPr>
                  <w:rStyle w:val="InternetLink"/>
                  <w:rFonts w:ascii="Times New Roman;sans-serif" w:hAnsi="Times New Roman;sans-serif"/>
                  <w:b w:val="false"/>
                  <w:strike w:val="false"/>
                  <w:dstrike w:val="false"/>
                  <w:color w:val="000000"/>
                  <w:sz w:val="20"/>
                  <w:u w:val="none"/>
                  <w:effect w:val="none"/>
                </w:rPr>
                <w:t>ITEM 16D.</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292">
              <w:r>
                <w:rPr>
                  <w:rStyle w:val="InternetLink"/>
                  <w:rFonts w:ascii="Times New Roman;sans-serif" w:hAnsi="Times New Roman;sans-serif"/>
                  <w:b w:val="false"/>
                  <w:color w:val="0000FF"/>
                  <w:sz w:val="20"/>
                  <w:u w:val="single"/>
                </w:rPr>
                <w:t>EXEMPTIONS FROM THE LISTING STANDARDS FOR AUDIT COMMITTEES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292">
              <w:r>
                <w:rPr>
                  <w:rStyle w:val="InternetLink"/>
                  <w:rFonts w:ascii="Times New Roman;sans-serif" w:hAnsi="Times New Roman;sans-serif"/>
                  <w:b w:val="false"/>
                  <w:strike w:val="false"/>
                  <w:dstrike w:val="false"/>
                  <w:color w:val="000000"/>
                  <w:sz w:val="20"/>
                  <w:u w:val="none"/>
                  <w:effect w:val="none"/>
                </w:rPr>
                <w:t>105</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295">
              <w:r>
                <w:rPr>
                  <w:rStyle w:val="InternetLink"/>
                  <w:rFonts w:ascii="Times New Roman;sans-serif" w:hAnsi="Times New Roman;sans-serif"/>
                  <w:b w:val="false"/>
                  <w:strike w:val="false"/>
                  <w:dstrike w:val="false"/>
                  <w:color w:val="000000"/>
                  <w:sz w:val="20"/>
                  <w:u w:val="none"/>
                  <w:effect w:val="none"/>
                </w:rPr>
                <w:t>ITEM 16E.</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295">
              <w:r>
                <w:rPr>
                  <w:rStyle w:val="InternetLink"/>
                  <w:rFonts w:ascii="Times New Roman;sans-serif" w:hAnsi="Times New Roman;sans-serif"/>
                  <w:b w:val="false"/>
                  <w:color w:val="0000FF"/>
                  <w:sz w:val="20"/>
                  <w:u w:val="single"/>
                </w:rPr>
                <w:t>PURCHASES OF EQUITY SECURITIES BY THE ISSUER AND AFFILIATED PURCHASERS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295">
              <w:r>
                <w:rPr>
                  <w:rStyle w:val="InternetLink"/>
                  <w:rFonts w:ascii="Times New Roman;sans-serif" w:hAnsi="Times New Roman;sans-serif"/>
                  <w:b w:val="false"/>
                  <w:strike w:val="false"/>
                  <w:dstrike w:val="false"/>
                  <w:color w:val="000000"/>
                  <w:sz w:val="20"/>
                  <w:u w:val="none"/>
                  <w:effect w:val="none"/>
                </w:rPr>
                <w:t>105</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298">
              <w:r>
                <w:rPr>
                  <w:rStyle w:val="InternetLink"/>
                  <w:rFonts w:ascii="Times New Roman;sans-serif" w:hAnsi="Times New Roman;sans-serif"/>
                  <w:b w:val="false"/>
                  <w:strike w:val="false"/>
                  <w:dstrike w:val="false"/>
                  <w:color w:val="000000"/>
                  <w:sz w:val="20"/>
                  <w:u w:val="none"/>
                  <w:effect w:val="none"/>
                </w:rPr>
                <w:t>ITEM 16F.</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298">
              <w:r>
                <w:rPr>
                  <w:rStyle w:val="InternetLink"/>
                  <w:rFonts w:ascii="Times New Roman;sans-serif" w:hAnsi="Times New Roman;sans-serif"/>
                  <w:b w:val="false"/>
                  <w:color w:val="0000FF"/>
                  <w:sz w:val="20"/>
                  <w:u w:val="single"/>
                </w:rPr>
                <w:t>CHANGE IN REGISTRANT’S CERTIFYING ACCOUNTANT</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298">
              <w:r>
                <w:rPr>
                  <w:rStyle w:val="InternetLink"/>
                  <w:rFonts w:ascii="Times New Roman;sans-serif" w:hAnsi="Times New Roman;sans-serif"/>
                  <w:b w:val="false"/>
                  <w:strike w:val="false"/>
                  <w:dstrike w:val="false"/>
                  <w:color w:val="000000"/>
                  <w:sz w:val="20"/>
                  <w:u w:val="none"/>
                  <w:effect w:val="none"/>
                </w:rPr>
                <w:t>105</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301">
              <w:r>
                <w:rPr>
                  <w:rStyle w:val="InternetLink"/>
                  <w:rFonts w:ascii="Times New Roman;sans-serif" w:hAnsi="Times New Roman;sans-serif"/>
                  <w:b w:val="false"/>
                  <w:strike w:val="false"/>
                  <w:dstrike w:val="false"/>
                  <w:color w:val="000000"/>
                  <w:sz w:val="20"/>
                  <w:u w:val="none"/>
                  <w:effect w:val="none"/>
                </w:rPr>
                <w:t>ITEM 16G.</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301">
              <w:r>
                <w:rPr>
                  <w:rStyle w:val="InternetLink"/>
                  <w:rFonts w:ascii="Times New Roman;sans-serif" w:hAnsi="Times New Roman;sans-serif"/>
                  <w:b w:val="false"/>
                  <w:color w:val="0000FF"/>
                  <w:sz w:val="20"/>
                  <w:u w:val="single"/>
                </w:rPr>
                <w:t>CORPORATE GOVERNANCE</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301">
              <w:r>
                <w:rPr>
                  <w:rStyle w:val="InternetLink"/>
                  <w:rFonts w:ascii="Times New Roman;sans-serif" w:hAnsi="Times New Roman;sans-serif"/>
                  <w:b w:val="false"/>
                  <w:strike w:val="false"/>
                  <w:dstrike w:val="false"/>
                  <w:color w:val="000000"/>
                  <w:sz w:val="20"/>
                  <w:u w:val="none"/>
                  <w:effect w:val="none"/>
                </w:rPr>
                <w:t>105</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304">
              <w:r>
                <w:rPr>
                  <w:rStyle w:val="InternetLink"/>
                  <w:rFonts w:ascii="Times New Roman;sans-serif" w:hAnsi="Times New Roman;sans-serif"/>
                  <w:b w:val="false"/>
                  <w:strike w:val="false"/>
                  <w:dstrike w:val="false"/>
                  <w:color w:val="000000"/>
                  <w:sz w:val="20"/>
                  <w:u w:val="none"/>
                  <w:effect w:val="none"/>
                </w:rPr>
                <w:t>ITEM 16H.</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304">
              <w:r>
                <w:rPr>
                  <w:rStyle w:val="InternetLink"/>
                  <w:rFonts w:ascii="Times New Roman;sans-serif" w:hAnsi="Times New Roman;sans-serif"/>
                  <w:b w:val="false"/>
                  <w:color w:val="0000FF"/>
                  <w:sz w:val="20"/>
                  <w:u w:val="single"/>
                </w:rPr>
                <w:t>MINE SAFETY DISCLOSURE</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304">
              <w:r>
                <w:rPr>
                  <w:rStyle w:val="InternetLink"/>
                  <w:rFonts w:ascii="Times New Roman;sans-serif" w:hAnsi="Times New Roman;sans-serif"/>
                  <w:b w:val="false"/>
                  <w:strike w:val="false"/>
                  <w:dstrike w:val="false"/>
                  <w:color w:val="000000"/>
                  <w:sz w:val="20"/>
                  <w:u w:val="none"/>
                  <w:effect w:val="none"/>
                </w:rPr>
                <w:t>112</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307">
              <w:r>
                <w:rPr>
                  <w:rStyle w:val="InternetLink"/>
                  <w:rFonts w:ascii="Times New Roman;sans-serif" w:hAnsi="Times New Roman;sans-serif"/>
                  <w:b w:val="false"/>
                  <w:strike w:val="false"/>
                  <w:dstrike w:val="false"/>
                  <w:color w:val="000000"/>
                  <w:sz w:val="20"/>
                  <w:u w:val="none"/>
                  <w:effect w:val="none"/>
                </w:rPr>
                <w:t>ITEM 16I.</w:t>
              </w:r>
            </w:hyperlink>
          </w:p>
        </w:tc>
        <w:tc>
          <w:tcPr>
            <w:tcW w:w="84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aca00e571c4218bebd1a008f6effc5_307">
              <w:r>
                <w:rPr>
                  <w:rStyle w:val="InternetLink"/>
                  <w:rFonts w:ascii="Times New Roman;sans-serif" w:hAnsi="Times New Roman;sans-serif"/>
                  <w:b w:val="false"/>
                  <w:color w:val="0000FF"/>
                  <w:sz w:val="20"/>
                  <w:u w:val="single"/>
                </w:rPr>
                <w:t>DISCLOSURE REGARDING FOREIGN JURISDICTIONS THAT PREVENT INSPECTIONS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307">
              <w:r>
                <w:rPr>
                  <w:rStyle w:val="InternetLink"/>
                  <w:rFonts w:ascii="Times New Roman;sans-serif" w:hAnsi="Times New Roman;sans-serif"/>
                  <w:b w:val="false"/>
                  <w:strike w:val="false"/>
                  <w:dstrike w:val="false"/>
                  <w:color w:val="000000"/>
                  <w:sz w:val="20"/>
                  <w:u w:val="none"/>
                  <w:effect w:val="none"/>
                </w:rPr>
                <w:t>112</w:t>
              </w:r>
            </w:hyperlink>
          </w:p>
        </w:tc>
      </w:tr>
      <w:tr>
        <w:trPr/>
        <w:tc>
          <w:tcPr>
            <w:tcW w:w="9524" w:type="dxa"/>
            <w:gridSpan w:val="6"/>
            <w:tcBorders/>
            <w:tcMar>
              <w:top w:w="0" w:type="dxa"/>
              <w:left w:w="0" w:type="dxa"/>
              <w:bottom w:w="0" w:type="dxa"/>
              <w:right w:w="0" w:type="dxa"/>
            </w:tcMar>
            <w:vAlign w:val="center"/>
          </w:tcPr>
          <w:p>
            <w:pPr>
              <w:pStyle w:val="TableContents"/>
              <w:bidi w:val="0"/>
              <w:spacing w:lineRule="auto" w:line="273" w:before="0" w:after="0"/>
              <w:ind w:left="0" w:right="0" w:hanging="0"/>
              <w:jc w:val="center"/>
              <w:rPr/>
            </w:pPr>
            <w:hyperlink w:anchor="iaaaca00e571c4218bebd1a008f6effc5_313">
              <w:r>
                <w:rPr>
                  <w:rStyle w:val="InternetLink"/>
                  <w:rFonts w:ascii="Times New Roman;sans-serif" w:hAnsi="Times New Roman;sans-serif"/>
                  <w:b w:val="false"/>
                  <w:color w:val="0000FF"/>
                  <w:sz w:val="20"/>
                  <w:u w:val="single"/>
                </w:rPr>
                <w:t>PART III</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aca00e571c4218bebd1a008f6effc5_313">
              <w:r>
                <w:rPr>
                  <w:rStyle w:val="InternetLink"/>
                  <w:rFonts w:ascii="Times New Roman;sans-serif" w:hAnsi="Times New Roman;sans-serif"/>
                  <w:b w:val="false"/>
                  <w:strike w:val="false"/>
                  <w:dstrike w:val="false"/>
                  <w:color w:val="000000"/>
                  <w:sz w:val="20"/>
                  <w:u w:val="none"/>
                  <w:effect w:val="none"/>
                </w:rPr>
                <w:t>114</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316">
              <w:r>
                <w:rPr>
                  <w:rStyle w:val="InternetLink"/>
                  <w:rFonts w:ascii="Times New Roman;sans-serif" w:hAnsi="Times New Roman;sans-serif"/>
                  <w:b w:val="false"/>
                  <w:strike w:val="false"/>
                  <w:dstrike w:val="false"/>
                  <w:color w:val="000000"/>
                  <w:sz w:val="20"/>
                  <w:u w:val="none"/>
                  <w:effect w:val="none"/>
                </w:rPr>
                <w:t>ITEM 17.</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316">
              <w:r>
                <w:rPr>
                  <w:rStyle w:val="InternetLink"/>
                  <w:rFonts w:ascii="Times New Roman;sans-serif" w:hAnsi="Times New Roman;sans-serif"/>
                  <w:b w:val="false"/>
                  <w:color w:val="0000FF"/>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316">
              <w:r>
                <w:rPr>
                  <w:rStyle w:val="InternetLink"/>
                  <w:rFonts w:ascii="Times New Roman;sans-serif" w:hAnsi="Times New Roman;sans-serif"/>
                  <w:b w:val="false"/>
                  <w:strike w:val="false"/>
                  <w:dstrike w:val="false"/>
                  <w:color w:val="000000"/>
                  <w:sz w:val="20"/>
                  <w:u w:val="none"/>
                  <w:effect w:val="none"/>
                </w:rPr>
                <w:t>114</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319">
              <w:r>
                <w:rPr>
                  <w:rStyle w:val="InternetLink"/>
                  <w:rFonts w:ascii="Times New Roman;sans-serif" w:hAnsi="Times New Roman;sans-serif"/>
                  <w:b w:val="false"/>
                  <w:strike w:val="false"/>
                  <w:dstrike w:val="false"/>
                  <w:color w:val="000000"/>
                  <w:sz w:val="20"/>
                  <w:u w:val="none"/>
                  <w:effect w:val="none"/>
                </w:rPr>
                <w:t>ITEM 18.</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319">
              <w:r>
                <w:rPr>
                  <w:rStyle w:val="InternetLink"/>
                  <w:rFonts w:ascii="Times New Roman;sans-serif" w:hAnsi="Times New Roman;sans-serif"/>
                  <w:b w:val="false"/>
                  <w:color w:val="0000FF"/>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319">
              <w:r>
                <w:rPr>
                  <w:rStyle w:val="InternetLink"/>
                  <w:rFonts w:ascii="Times New Roman;sans-serif" w:hAnsi="Times New Roman;sans-serif"/>
                  <w:b w:val="false"/>
                  <w:strike w:val="false"/>
                  <w:dstrike w:val="false"/>
                  <w:color w:val="000000"/>
                  <w:sz w:val="20"/>
                  <w:u w:val="none"/>
                  <w:effect w:val="none"/>
                </w:rPr>
                <w:t>114</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322">
              <w:r>
                <w:rPr>
                  <w:rStyle w:val="InternetLink"/>
                  <w:rFonts w:ascii="Times New Roman;sans-serif" w:hAnsi="Times New Roman;sans-serif"/>
                  <w:b w:val="false"/>
                  <w:strike w:val="false"/>
                  <w:dstrike w:val="false"/>
                  <w:color w:val="000000"/>
                  <w:sz w:val="20"/>
                  <w:u w:val="none"/>
                  <w:effect w:val="none"/>
                </w:rPr>
                <w:t>ITEM 19.</w:t>
              </w:r>
            </w:hyperlink>
          </w:p>
        </w:tc>
        <w:tc>
          <w:tcPr>
            <w:tcW w:w="84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aca00e571c4218bebd1a008f6effc5_322">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aca00e571c4218bebd1a008f6effc5_322">
              <w:r>
                <w:rPr>
                  <w:rStyle w:val="InternetLink"/>
                  <w:rFonts w:ascii="Times New Roman;sans-serif" w:hAnsi="Times New Roman;sans-serif"/>
                  <w:b w:val="false"/>
                  <w:strike w:val="false"/>
                  <w:dstrike w:val="false"/>
                  <w:color w:val="000000"/>
                  <w:sz w:val="20"/>
                  <w:u w:val="none"/>
                  <w:effect w:val="none"/>
                </w:rPr>
                <w:t>115</w:t>
              </w:r>
            </w:hyperlink>
          </w:p>
        </w:tc>
      </w:tr>
      <w:tr>
        <w:trPr/>
        <w:tc>
          <w:tcPr>
            <w:tcW w:w="9524" w:type="dxa"/>
            <w:gridSpan w:val="6"/>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aaaca00e571c4218bebd1a008f6effc5_325">
              <w:r>
                <w:rPr>
                  <w:rStyle w:val="InternetLink"/>
                  <w:rFonts w:ascii="Times New Roman;sans-serif" w:hAnsi="Times New Roman;sans-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right"/>
              <w:rPr/>
            </w:pPr>
            <w:hyperlink w:anchor="iaaaca00e571c4218bebd1a008f6effc5_325">
              <w:r>
                <w:rPr>
                  <w:rStyle w:val="InternetLink"/>
                  <w:rFonts w:ascii="Times New Roman;sans-serif" w:hAnsi="Times New Roman;sans-serif"/>
                  <w:b w:val="false"/>
                  <w:strike w:val="false"/>
                  <w:dstrike w:val="false"/>
                  <w:color w:val="000000"/>
                  <w:sz w:val="20"/>
                  <w:u w:val="none"/>
                  <w:effect w:val="none"/>
                </w:rPr>
                <w:t>118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DEFINED TERMS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defined elsewhere in this report (this “Report”), the following terms shall be defined as follows: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$8.63 Warrants” means warrants to purchase Class A ordinary shares at an exercise price of $8.63 per share which warrants, when issued, had an exercise price of $11.50 which was reduced pursuant to the terms of the warrants consisting, as of the issuance date, of (a) 8,333,333 Public Warrants, (b) 333,333 warrants issued to Sponsor in exchange for CF V warrants purchased by Sponsor pursuant to the Forward Purchase Contract and (c) 200,000 warrants issued to Sponsor in exchange for warrants purchased by Sponsor in a private placement in connection with the Merger transaction.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Board” means the board of directors of Satellogic Inc.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Borrower” means Nettar Group Inc., a subsidiary of the Company.</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BVI” means the British Virgin Islands.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BVI Act” means the BVI Business Companies Act, (As Revised).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Cantor” means Cantor Fitzgerald L.P., a Delaware limited partnership and an affiliate of the Sponsor, CF&amp;Co. and, prior to the consummation of the Merger, CF V. </w:t>
      </w:r>
    </w:p>
    <w:p>
      <w:pPr>
        <w:pStyle w:val="TextBody"/>
        <w:bidi w:val="0"/>
        <w:spacing w:lineRule="auto" w:line="288" w:before="240" w:after="283"/>
        <w:ind w:left="0" w:right="0" w:firstLine="540"/>
        <w:jc w:val="both"/>
        <w:rPr/>
      </w:pPr>
      <w:r>
        <w:rPr>
          <w:color w:val="000000"/>
        </w:rPr>
        <w:t>“</w:t>
      </w:r>
      <w:r>
        <w:rPr>
          <w:rFonts w:ascii="Times New Roman;sans-serif" w:hAnsi="Times New Roman;sans-serif"/>
          <w:b w:val="false"/>
          <w:color w:val="000000"/>
          <w:sz w:val="20"/>
        </w:rPr>
        <w:t>CF V” means CF Acquisition Corp. V, a Delaware corporation, now known as “Satellogic V Inc.”</w:t>
      </w:r>
      <w:r>
        <w:rPr>
          <w:color w:val="000000"/>
        </w:rPr>
        <w:t xml:space="preserve">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CF&amp;Co.” means Cantor Fitzgerald &amp; Co., a New York general partnership and an affiliate of the Sponsor.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CF Securities” means Cantor Fitzgerald Securities, a New York general partnership and an affiliate of the Sponsor.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Class A ordinary shares” means Class A ordinary shares , par value $0.0001 per share.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Class B ordinary shares” means Class B ordinary shares , par value $0.0001 per share.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Closing” means the closing of the Merger.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Code” means the Internal Revenue Code of 1986, as amended.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Company” means Satellogic Inc.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Company Governing Documents” means the Memorandum and Articles of Association of the Company, as amended.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Columbia Loan” means the Loan and Security Agreement, dated March 8, 2021, by and between Columbia River Investment Limited, a BVI company, and us.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Columbia Warrant” means the warrant issued to Columbia River Investment Limited pursuant to the Columbia Loan.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EO” means earth observation.</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EO services” means geospatial intelligence, imagery and related data analytic products and services.</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Exchange Act” means the Securities Exchange Act of 1934, as amended.</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Forward Purchase Contract” means that certain amendment and restatement of the forward purchase contract, dated January 28, 2021, by and between CF V and the Sponsor pursuant to which the Sponsor agreed to purchase, and we agreed to issue and sell to the Sponsor, 1,250,000 Class A ordinary shares (subject to adjustment) and 333,333 warrants.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GEO” means geostationary earth orbit satellites.</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Holder Representative” means Acquiom Agency Services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IFRS” means the International Financial Reporting Standards, as issued by the International Accounting Standards Board.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IRS” means the U.S. Internal Revenue Service.</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LEO” means low earth orbit satellites.</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Liberty Letter Agreement” means the Amended and Restated Letter Agreement, dated as of February 10, 2022 by and among Satellogic Inc., Liberty Strategic Capital (SATL) Holdings, LLC and CFAC Holdings V, LLC (incorporated by reference to Exhibit 10.16 to the Registration Statement on Form F-1 filed on February 14, 2022 (file no. 333-262699) and referenced as Exhibit 10.13 to this Report).</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MEO” means medium earth orbit satellites.</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Merger” means the Transactions consummated pursuant to the Merger Agreement.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Nasdaq” means The Nasdaq Capital Market.</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NOAA” means the U.S. National Oceanic and Atmospheric Administration.</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Note Purchase Agreement” means that certain Note Purchase Agreement, dated April 12, 2024, by and among the Company, the Borrower, the Holder Representative, and the Purchaser signatory thereto.</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Ordinary Shares” means our Class A ordinary shares and our Class B ordinary shares.</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PIPE Investment” means the sale of Class A ordinary shares pursuant to PIPE Subscription Agreements in a private placement that occurred concurrently with the closing of the Merger.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PIPE Investors” means investors that subscribed for Class A ordinary shares in the PIPE Investment.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PIPE Subscription Agreements” mean the Subscription Agreements, dated as of July 5, 2021, by and among CF V, the Company and the PIPE Investors.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PIPE Warrant Agreement” means that certain Warrant Agreement dated January 25, 2022, by and between the Company and Continental Stock Transfer &amp; Trust Company governing the PIPE Warrant.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PIPE Warrant” means the warrants to acquire 2,500,000 Class A ordinary shares at a purchase price of $20.00 per share.</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Promissory Note Waiver Letter” means that certain Waiver Letter, dated January 18, 2022, by and between the Company and CF Securities.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Public Warrant Agreement” means that certain Warrant Agreement, dated January 28, 2021, by and between the Company and Continental Stock Transfer &amp; Trust Company governing the $8.63 Warrants.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Public Warrants” means warrants to purchase our Class A ordinary shares that are listed to trade publicly on Nasdaq.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Purchaser” means Tether Investments Limited.</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R&amp;D” means research and development.</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SEC” means the United States Securities and Exchange Commission.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Secured Convertible Notes” means the $30 million in aggregate principal amount of floating rate secured convertible promissory notes issued pursuant to the Note Purchase Agreement.</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Securities Act” means the United States Securities Act of 1933, as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SOFR” means the Secured Overnight Financing Rate.</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SpaceX” means SpaceX Exploration Technologies Corp.</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SpaceX Agreement” means that certain Multi-Launch Agreement, dated April 5, 2022, by and between the Company and SpaceX, as the same may be amended, supplemented or otherwise modified from time to time.</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Sponsor” means CFAC Holdings V, LLC, a Delaware limited liability company.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Transactions” means the transactions contemplated by the Merger Agreement or any of the ancillary agreements related thereto.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U.S. dollar,” “$” or “USD” each refers to the United States Dollar.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 xml:space="preserve">U.S. GAAP” means accounting principles generally accepted in the United States of America. </w:t>
      </w:r>
    </w:p>
    <w:p>
      <w:pPr>
        <w:pStyle w:val="TextBody"/>
        <w:bidi w:val="0"/>
        <w:spacing w:lineRule="auto" w:line="288" w:before="240" w:after="283"/>
        <w:ind w:left="0" w:right="0" w:firstLine="540"/>
        <w:jc w:val="both"/>
        <w:rPr>
          <w:color w:val="000000"/>
        </w:rPr>
      </w:pPr>
      <w:r>
        <w:rPr>
          <w:color w:val="000000"/>
        </w:rPr>
        <w:t>“</w:t>
      </w:r>
      <w:r>
        <w:rPr>
          <w:rFonts w:ascii="Times New Roman;sans-serif" w:hAnsi="Times New Roman;sans-serif"/>
          <w:b w:val="false"/>
          <w:color w:val="000000"/>
          <w:sz w:val="20"/>
        </w:rPr>
        <w:t>Warrants” means, jointly, the Columbia Warrants, the PIPE Warrants, the Liberty Warrants, the Liberty Advisory Fee Warrant, and the $8.63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contains “forward-looking statements” within the meaning of the U.S. federal securities laws.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These forward-looking statements are based on our current expectations and beliefs concerning future developments and their potential effects on us and include statements concerning, among other things, our plans, strategies and prospects, both business and financial. Although we believe our plans, intentions and expectations reflected in or suggested by these forward-looking statements are reasonable, we cannot give any assurance that we either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Forward-looking statements in this Report include, but are not limited to, statements about: </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future financial performance, including funding expansion plans and opportunities;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success in retaining or recruiting, or changes required in, our officers, key employees or directors;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our strategy, future operations, financial condition, estimated revenue and losses, projected costs, prospects and plans;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expectations regarding the Secured Convertible Notes;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coordinate with the NOAA’s Commercial Remote Sensing Regulatory Affairs division to assure an understanding of regulations as they evolve;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implementation, market acceptance and success of our business model;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expectations surrounding capital requirements as it seeks to build and launch more satellites;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expectations surrounding the growth of our commercial platform as a part of our revenues;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conduct remaps of the planet’s surface with increasing regularity or frequency as we increase the number of our satellites in orbit;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productize our internal data analytics platform;</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plans to grow our constellation of satellites;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expected performance of our Space Systems business line;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launch satellites less expensively than our competitors;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increase satellite production to meet demand and reach our mapping goals.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actual events and circumstances are beyond the control of the Company. Many factors could cause actual future results to differ materially from the forward-looking statements in this Report, including but not limited to:</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generate revenue as expected;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effectively market and sell our EO services and to convert contracted revenues and our pipeline of potential contracts into actual revenues;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risks related to the Secured Convertible Notes;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potential loss of one or more of our largest customers;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considerable time and expense related to our sales efforts and the length and unpredictability of our sales cycle;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risks and uncertainties associated with defense-related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risks related to our pricing structure;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scale production of our satellites as planned;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unforeseen risks, challenges and uncertainties related to our expansion into new business lines;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dependence on third parties, including SpaceX, to transport and launch our satellites into space;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reliance on third party vendors and manufacturers to build and provide certain satellite components, products, or services, and the inability of these vendors and manufacturers to meet our needs;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dependence on ground station and cloud-based computing infrastructure operated by third parties for value added services, and any errors, disruption, cybersecurity incidents, performance problems, or failure in their or our operational infrastructure;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risk related to certain minimum service requirements in our customer contracts;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market acceptance of our EO services and our dependence upon our ability to keep pace with the latest technological advances, including those related to artificial intelligence and machine learning;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identify suitable acquisition candidates or consummate acquisitions on acceptable terms, or our ability to successfully integrate acquisitions;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competition for EO services;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challenges with international operations or unexpected changes to the regulatory environment in certain markets;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unknown defects or errors in our products;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risk related to the capital-intensive nature of our business and our ability to raise adequate capital to finance our business strategies;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uncertainties beyond our control related to the production, launch, commissioning, and/or operation of our satellites and related ground systems, software and analytic technologies;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failure of the market for EO services to achieve the growth potential we expect;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risks related to our satellites and related equipment becoming impaired;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risks related to the failure of our satellites to operate as intended;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production and launch delays, launch failures, and damage or destruction to our satellites during launch;</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significant risks and uncertainties related to our insurance that may not be covered by insurance;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impact of natural disasters, unusual or prolonged unfavorable weather conditions, epidemic outbreaks, terrorist acts and geopolitical events (including the ongoing conflicts between Russia and Ukraine, in the Gaza Strip and the Red Sea region) on our business and satellite launch schedules.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Risks, uncertainties and events may cause actual results to differ materially from the expectations described in our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IDENTITY OF DIRECTORS, SENIOR MANAGEMENT AND ADVISERS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OFFER STATISTICS AND EXPECTED TIMETABLE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KEY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A.    </w:t>
      </w:r>
      <w:r>
        <w:rPr>
          <w:rFonts w:ascii="Times New Roman;sans-serif" w:hAnsi="Times New Roman;sans-serif"/>
          <w:b/>
          <w:color w:val="000000"/>
          <w:sz w:val="20"/>
        </w:rPr>
        <w:t>RESERVED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B.    </w:t>
      </w:r>
      <w:r>
        <w:rPr>
          <w:rFonts w:ascii="Times New Roman;sans-serif" w:hAnsi="Times New Roman;sans-serif"/>
          <w:b/>
          <w:color w:val="000000"/>
          <w:sz w:val="20"/>
        </w:rPr>
        <w:t>Capitalization and Indebtedness.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C.    </w:t>
      </w:r>
      <w:r>
        <w:rPr>
          <w:rFonts w:ascii="Times New Roman;sans-serif" w:hAnsi="Times New Roman;sans-serif"/>
          <w:b/>
          <w:color w:val="000000"/>
          <w:sz w:val="20"/>
        </w:rPr>
        <w:t>Reasons for the Offer and Use of Proceeds.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D.</w:t>
      </w:r>
      <w:r>
        <w:rPr>
          <w:color w:val="000000"/>
        </w:rPr>
        <w:t>    </w:t>
      </w:r>
      <w:r>
        <w:rPr>
          <w:rFonts w:ascii="Times New Roman;sans-serif" w:hAnsi="Times New Roman;sans-serif"/>
          <w:b/>
          <w:color w:val="000000"/>
          <w:sz w:val="20"/>
        </w:rPr>
        <w:t>Risk Factors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An investment in our securities carries a significant degree of risk. Readers should carefully consider the following risks and other information in this Report, including our Consolidated Financial Statements and related notes included elsewhere in this Report. Additional risks and uncertainties of which we are not presently aware or that we currently deem immaterial could also affect our business operations and financial condition. If any of these risks actually occur, our business, financial condition, results of operations or prospects could be materially affected. As a result, the trading price of our securities could decline and an investor could lose part or all of their investment. Unless otherwise indicated or the context otherwise requires, references in this section to “we,” “our,” “us,” “the Company” and similar terms are to Nettar Group Inc. (d/b/a Satellogic) before the Merger and to Satellogic Inc. after the Merger. </w:t>
      </w:r>
    </w:p>
    <w:p>
      <w:pPr>
        <w:pStyle w:val="TextBody"/>
        <w:bidi w:val="0"/>
        <w:spacing w:before="0" w:after="0"/>
        <w:ind w:left="0" w:right="0" w:firstLine="540"/>
        <w:jc w:val="left"/>
        <w:rPr/>
      </w:pPr>
      <w:r>
        <w:rPr/>
      </w:r>
    </w:p>
    <w:p>
      <w:pPr>
        <w:pStyle w:val="TextBody"/>
        <w:bidi w:val="0"/>
        <w:spacing w:lineRule="auto" w:line="276" w:before="0" w:after="0"/>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If we do not generate revenue as expected, our financial condition will be materially and adversely affected.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success of our business will be highly dependent on our ability to effectively market and sell our products and services and to convert contracted revenues, which can be a costly process.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loss of one or more of our largest customers could adversely affect our 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sales efforts involve considerable time and expense, and our sales cycle is long and unpredictable.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may face risks and uncertainties associated with defense-related contracts, which may have a material adverse effect on our business.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pricing structure may not be optimal and may require adjustments over time.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If we are unable to scale production of our satellites, our business could be materially and adversely affected.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expansion into new business lines and services may result in unforeseen risks, challenges and uncertainties.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are dependent on third parties to build and provide certain satellite components, products and services, including to transport and launch our satellites into space, and any inability to meet our needs could have a material and adverse impact on our business, financial condition, and 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depend on ground station and cloud-based computing infrastructure operated by third parties, and any failure in their or our operational infrastructure could materially and adversely affect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failure to meet our minimum service requirements in any customer contracts may materially and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Market acceptance of our EO services may not continue, and our business is dependent upon our ability to keep pace with the latest technological changes.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face competition for EO services, which may limit our ability to gain market share.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fail to foresee challenges with international operations or regulations in certain markets may change.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products and services are complex and could have unknown defects or errors, which may increase our costs, harm our reputation, give rise to costly litigation, or divert our or our customers’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business is capital intensive, and we may not be able to raise adequate capital to finance our strategies.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There is substantial doubt about our ability to continue as a going concern.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grow our business depends on the successful production, launch, commissioning and/or operation of our satellites, which is subject to many uncertainties, some of which are beyond our control.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market for EO services has not been established with precision, is still emerging and may not achieve the growth potential we expect or may grow more slowly than expected.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If our satellites and related equipment become impaired, or fail to operate as intended, it could have a material adverse effect on our business, financial condition, and results of operations.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Satellites are subject to production and launch delays, launch failures, and damage or destruction during launch, the occurrence of which could materially and adversely affect our operations.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business involves significant risks and uncertainties that may not be covered by insurance or insurance coverage may be insufficient or unavailable on acceptable cost and terms, if at all.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Coordination results may adversely affect our ability to use our satellites in certain orbital locations or may delay our ability to launch satellites and thereby limit our ability to provide our proposed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Natural disasters, unusual or unfavorable weather conditions, pandemic or epidemic outbreaks, terrorist acts and geopolitical events could disrupt our business or satellite launch schedules.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anticipated benefits of our Domestication are subject to risks and uncertainties, and may not materialize.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connection with our Domestication, we will lose our foreign private issuer status, which will require us to comply with the Exchange Act’s domestic reporting regime and cause us to incur significant expenses.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not have sufficient cash flows from our business to continue to fund our operations and pay our debt.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issuance of our Class A ordinary shares upon conversion of the Secured Convertible Notes or our Class A ordinary shares that may otherwise be issued and/or sold by the Company or selling securityholders, could cause substantial dilution, which could materially affect the trading price of our Class A ordinary shares.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Secured Convertible Notes are secured by a security interest in substantially all of our assets, so if we default on those obligations, the noteholder could foreclose on, liquidate and/or take possession of our assets.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Provisions of the Secured Convertible Notes may prevent or frustrate attempts by third parties to acquire a controlling interest in us or change our management.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Secured Convertible Notes have restrictions that may make it difficult to execute our strategy or compete.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If we become a U.S. governmental contractor, our business will be subject to significant U.S. regulations, and changes in U.S. government spending could reduce our revenue and adversely affect our business.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technology may violate the proprietary rights of third parties, our intellectual property may be misappropriated or infringed upon by third parties, or we may fail to comply with the terms of any open-source software license applicable to our technology, each of which could have a negative impact on our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rely on the specialized expertise of our senior management, engineering, sales and operational staff and must retain and attract qualified and highly skilled personnel in order to grow our business successfully.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Continuing inflation and/or elevated interest rates for prolonged periods could have an adverse effect on our business, financial condition, and results of operations.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incurred and will continue to incur significant expenses and administrative burdens as a public company, which could have an adverse effect on our business, financial condition, and 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historical financial results may not be indicative of what our actual financial position or results of operations would have been if we were a public company during all periods presented.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of management to operate the business successfully is largely dependent upon the efforts of certain of our key personnel. The loss of key personnel could negatively impact our operations and financial results.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dual class structure of our Ordinary Shares has the effect of concentrating voting control with certain of our stockholders and limiting our other stockholders’ influence on corporate matters and may discourage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others from pursuing any change of control transactions that holders of Class A ordinary shares may view as beneficial.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do not expect to declare any dividends in the foreseeable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Failure to maintain effective internal controls over financial reporting could have a material adverse effect on our business, operating results and stock price.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are an “emerging growth company” and, as a result of the reduced disclosure and governance requirements applicable to emerging growth companies, our Class A ordinary shares may be less attractive to investors.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Because we are incorporated in the BVI, the rights of our shareholders are not as extensive as those rights of stockholders of U.S. corporations and it may be more difficult for our shareholders to protect their rights or enforce judgments against us than it would be if we were a corporation incorporated in another jurisdiction.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 Related to Our Business and Industry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an early stage company that has not demonstrated a sustained ability to generate revenues. If we do not generate revenues as expected, our financial condition will be materially and adversely affected.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devoted substantially all of our resources to designing, building and developing our satellites and satellite components and technology, enhancing our geospatial analytics capabilities and services, planning our business, raising capital and providing general and administrative support for these operations. As a relatively new business, we have not demonstrated a sustained ability to generate sufficient revenue from our EO services or conduct sufficient sales and marketing activities necessary for successful commercialization of our geospatial data and analytics platform (“Platform”). Additionally, we recently established our Space Systems business line, which will allow us to sell our satellites directly to customers, but for which we have only a limited demonstrated track record of revenues. Consequently, any assessment a reader makes about our current business, future success or viability may not be as accurate as it could be if we had a longer operating history. Further, our limited financial track record, without meaningful revenue from our expected future principal business, is of limited reference value for an assessment of our business and future prospects.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have an accumulated deficit of $283.8 million. For the year ended December 31, 2023, we had net cash used in operating activities of $49.6 million. As of December 31, 2023, we had cash and cash equivalents of $23.5 million. We will continue to incur losses and negative operating cash flows until we are able to onboard a sufficient number of customers, contracts and launch and scale a sufficient number of our constellation of satellites, to become profitable and generate positive operating cash flows. As we work to transition from initial start-up activities to commercial production and sales, it is difficult to forecast our future results. We have limited insight into trends that may emerge and affect our business, including our ability to attract and retain customers and the competition we will face. If our revenue grows slower than we anticipate or we otherwise fall materially short of our forecasts and expectations, we may not be able to achieve profitability and positive operating cash flows and our financial condition will be materially and adversely affected which could cause our stock price to decline and investors to lose confidence in us.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success of our business will be highly dependent on our ability to effectively market and sell our EO services and to convert contracted revenues and our pipeline of potential contracts into actual revenues, which can be a costly process.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relied heavily on equity and debt financing to fund our business and operations and are currently generating revenue from agreements with a commercial space technology customer and a governmental customer as well as from a base of smaller customer contracts. Since initially launching 13 of our satellites in late 2020, we now have a fleet of 25 satellites in orbit and have significantly accelerated our sales and marketing efforts to government defense and intelligence (“D&amp;I”) agencies, particularly in countries outside of the U.S. Our success will be highly dependent on our ability to convert our significant pipeline of potential contracts into recognized revenues. If we fail to sign contracts with at least some portion of the customers for large projects currently envisaged in our pipeline, particularly over the next couple of years when any large contract would significantly impact our revenues and financial results and grow a sufficient number of contracts with such customers, our business, financial condition, and results of operations will be materially and adversely affected.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establish and expand our customer relationships and sell our EO services is subject to a number of factors, including our ability to overcome concerns by customers relating to our lack of experience or track record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providing EO services to customers in the same industry or at all, competition from larger, more experienced service providers, our customers’ satisfaction or dissatisfaction with our satellites and/or our EO services, the frequency and severity of errors or disruptions in our satellites, reliability of our satellites, the effects of general economic conditions, competitive offerings or alternatives, reductions in our customers’ spending levels, and pricing.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continued concerns regarding our minor operations in China could impact our ability to win bids from, or enter into customer contracts with, certain government agencies or commercial customers.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sales growth is dependent upon our ability to implement sophisticated and potentially costly sales and marketing initiatives. These initiatives may not be effective in generating sales, and in such event our results of operations will be harmed. In the near term, we intend to derive substantially all our revenues from providing our EO services to international government D&amp;I agencies, and in the longer-term, intend to expand our operations to serve commercial customers in a variety of markets and industries. We cannot give any assurance that we will be able to secure future business or that the potential uses for our EO services in commercial applications will develop. It is difficult to predict our future revenues and appropriately budget for our expenses, and we have limited insight into trends that may emerge and affect our business. If actual results do not improve or improve more slowly than we anticipate, our operating results, prospects and financial position could be materially and adversely affected.</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loss of one or more of our largest customers could adversely affect our results of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We are dependent on a small number of customers for a large portion of our revenue, such as a commercial space technology customer and a governmental customer. A significant decrease in the sales to or loss of any of our major customers would have a material adverse effect on our business, financial condition, and results of operations. In 2023, we had four customers that each accounted for more than 10% of our total revenue and in 2022, we had two </w:t>
      </w:r>
      <w:r>
        <w:rPr>
          <w:rFonts w:ascii="Times New Roman;sans-serif" w:hAnsi="Times New Roman;sans-serif"/>
          <w:b w:val="false"/>
          <w:color w:val="000000"/>
          <w:sz w:val="18"/>
        </w:rPr>
        <w:t>customers</w:t>
      </w:r>
      <w:r>
        <w:rPr>
          <w:color w:val="000000"/>
        </w:rPr>
        <w:t xml:space="preserve"> </w:t>
      </w:r>
      <w:r>
        <w:rPr>
          <w:rFonts w:ascii="Times New Roman;sans-serif" w:hAnsi="Times New Roman;sans-serif"/>
          <w:b w:val="false"/>
          <w:color w:val="000000"/>
          <w:sz w:val="20"/>
        </w:rPr>
        <w:t>that accounted for 10% of our total revenue. Customers in the D&amp;I market generally purchase our EO services in connection with government programs that have a limited duration, leading to fluctuating sales to any particular customer in this market from year to year. If we lose one or more of our major enterprise or government customers, or if we experience a significant reduction in business from one or more major enterprise or government customers, there is no assurance that we would be able to quickly replace those customers to generate comparable revenue, which could harm our operating results and profitability.</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sales efforts involve considerable time and expense, and our sales cycle is long and unpredictable for many of our portfolio offerings.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may fluctuate, in part, because of the intensive nature of our sales efforts and the length and unpredictability of our sales cycle. As part of our sales efforts, we invest considerable time and expense evaluating the specific needs and requirements of our potential customers, which consist largely of government agencies and educating these potential customers about the technical capabilities and value of our satellites and our EO services and the better unit economics we can offer, which in the case of government agencies can be less important. In addition, we have only recently begun to grow our sales team, and our sales efforts have historically depended on the significant involvement of our senior management team. Given the nature of the potential customers, the length of our sales cycle tends to be long and varies substantially from customer to customer. In addition, the timing and cycle of contract bidding processes particularly for government contracts can be very unpredictable and can change or lengthen on very little notice and for reasons outside of our control. Because decisions to purchase our EO services involve significant financial commitments, potential customers generally evaluate our products and technologies at multiple levels within their organizations, each of which often have specific requirements, and typically involve senior officials and management, and multiple internal approvals. We could spend substantial time, effort, and money in our sales efforts without producing any sales. If our sales efforts to a potential customer do not result in sufficient revenue to justify our investments, our business, financial condition, and results of operations could be materially and adversely affected.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face risks and uncertainties associated with D&amp;I-related contracts, which may have a material adverse effect on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still an early-stage company and only began to recognize revenues in 2021. Acquiring defense-related governmental contracts, such as the three-year agreement we entered into with the government of Albania, is part of our growth strategy. The acquisition of defense-related or governmental customers results in our EO services being incorporated into defense programs. Whether such defense or governmental contracts are directly with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 a foreign government (including Albania), or one of their respective agencies, or indirectly as a subcontractor or team member, our contracts and subcontracts are or will be subject to special risks. For example: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Changes in government administration and national and international priorities, including developments in the geopolitical environment, or regulatory requirements, could have a significant impact on national or international defense spending priorities and the efficient handling of routine contractual matters. These changes could have a negative impact on our business in the future.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may compete directly with other suppliers or align with a prime or subcontractor competing for a contract. We may not be awarded the contract if the pricing or product offering is not competitive, either at our level or the prime or subcontractor level. In addition, in the event we are awarded a contract, we may be subject to protests by losing bidders of contract awards that can result in the reopening of the bidding process and changes in governmental policies or regulations and other political factors. In addition, we may be subject to multiple rebid requirements over the life of a defense program in order to continue to participate in a program, which can result in the loss of the contract or significantly reduce our revenue from the program. The government’s requirements for more frequent technology refreshes on defense programs may lead to increased costs and lower long-term revenues.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Consolidation among defense industry contractors has resulted in a few large contractors with increased bargaining power relative to us. The increased bargaining power of these contractors may adversely affect our ability to compete for contracts and, as a result, may materially and adversely affect our business or results of operations in the future.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usage policy currently restricts usage of our EO services, data and Platform for peaceful use only, and that may limit our ability to compete for and win certain defense-related contracts.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pricing structure may not be optimal and may require adjustments over time.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pricing of our products and services will vary depending on the specific application and customer specifications. Given the complexity in determining pricing structures for our EO services, we may experience difficulty determining the appropriate price structure for our products and services. This may result in missed revenue opportunities and lower than expected margins if we price our products and services too low, or in us losing bids if we price our products and services too high. In addition, we expect that we may need to change our pricing model from time to time, including as a result of competition, global economic conditions, reductions in our customers’ spending levels generally, changes in product mix, pricing studies or changes in how information technology infrastructure is broadly consumed. Similarly, as we introduce new products and services, or as a result of the evolution of our existing products and services, we may have difficulty determining the appropriate price structure for our products and services. In addition, as new and existing competitors introduce new products or services that compete with ours, or revise their pricing structures, we may be unable to attract new customers at the same price or based on the same pricing model as we have used historically. Moreover, customers may demand price concessions. As a result, we may be required from time to time to revise our pricing structure or reduce our prices, which could materially and adversely affect our business, financial condition, and results of operations.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scale production of our satellites as planned, our business and results of operations could be materially and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plan is based on us building out our constellation of satellites to 200+ satellites. Our ability to achieve our production plans and deliver our products and services to our customers will depend upon many factors, including our ability to: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prepare and operate high-throughput production factories for production to build a large number of satellites;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acquire sufficient quantities of third-party components and supplies;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recruit and train new staff while maintaining desired quality levels;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implement an effective supplier strategy and supply chain management system;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adopt manufacturing and quality control processes, which we must successfully introduce and scale for production at any new production facilities.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unable to prepare and operate high throughput production facilities for production within our planned timeframes, in a cost-effective manner or at all due to a variety of factors, including, but not limited to, a failure to acquire or lease a production facility, a stoppage of construction as a result of public health emergencies, geopolitical conflicts,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insufficiency of utility infrastructure, unexpected construction problems, permitting and other regulatory issues, severe weather, labor disputes, and issues with subcontractors or vendors. In addition, the cost to scale satellite production may be more than we are currently forecasting based on higher plant acquisition and build out costs, higher labor costs, increases in plant and equipment costs, increased transportation and supply chain costs and higher costs to manage and administer the plant and supply chain. Any delay or inability to build and launch satellites as we resume efforts to scale satellite production, including at the expected cost, could significantly delay or reduce expected revenue, profitability and cash flow. No assurance can be given that construction of the satellites will be completed on time or at all, or as to whether we will have sufficient funds available to complete construction if we experience unexpected delays or costs.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expansion into new business lines and services may result in unforeseen risks, challenges and uncertainties.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2022, as a part of our go-to-market strategy, we added a new line of business, Space Systems, which will allow us to sell our satellites directly to select customers for whom satellite ownership is a priority. The addition of the Space Systems business line may result in unforeseen risks, challenges, and uncertainties. We may incur additional capital expenditure to support the expansion of our business and there is no guarantee that we will increase our revenues as a result of the Space Systems business line. Our failure to adequately manage costs and expenses and evaluate consumer demands with respect to the direct purchase of satellites by customers could materially and adversely affect the prospects of us achieving overall profitability through the Space Systems business line, which may require significant managerial, financial, operational and other resources. We may also face additional regulatory, legal and counterparty risks as a result of our addition of the Space Systems business line. If we fail to manage the development of this new business line successfully, our growth potential, business and results of operations may be materially and adversely affected.</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dependent on third parties to build and provide certain satellite components, products and services, including to transport and launch our satellites into space and any delay could have a material and adverse impact on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dependent on third parties to transport our satellites and ground station equipment around the world and to launch and deliver our satellites into space. Currently there are only a few companies who offer launch services, including SpaceX, with whom we have entered into the SpaceX Agreement. We require timely and affordable access to launch services that meet our business and technical requirements to deploy our satellite constellation. If the number of companies offering launch services or the number of launches does not grow in the future or there is a consolidation among companies who offer these services, this could result in a shortage of space on these launch vehicles, which may cause prices to increase, or result in our inability to secure space on a launch vehicle and, as a result, delays in our launch schedule. Additionally, adverse events with respect to our launch service providers, such as satellite launch failures or financial difficulties (which some of these providers have previously experienced), could result in increased costs or delays in the launch of our satellites. Moreover, a shortage of transportation providers for our satellites and ground station equipment may cause our costs to increase, delays in our ability to launch our satellites and gaps in our service coverage, and adversely affect our ability to meet customer demand. Any of these situations could have a material adverse effect on our business, financial condition, and results of operations.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in the event that a launch is delayed, our timing for recognition of revenue may be impacted depending on the length of the delay and the nature of our impacted customer contracts. While such delays are common in the space industry, any delay in a launch could result in a delay in recognizing revenue which could materially and adversely impact our financial statements or result in negative impacts to our earnings during a specified time period, which could have a material adverse effect on our business, financial condition, and results of operations.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Although we design and build our satellites and many of our key satellite components, we rely on third party vendors and manufacturers to build and provide certain satellite components, products or services and the inability of these vendors and manufacturers to meet our needs could have a material adverse effect on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design the core components that go into developing and manufacturing our satellites to be mission specific, partner with third parties to manufacture those components for us and then assemble, integrate and test the components and satellites in our own facilities (or support customers’ assembly, integration and testing (“AIT”) in such customers’ facilities). Our ability to manage our production line and supply of raw materials and components to meet production goals may be constrained by our suppliers’ inability to scale production. An inability to grow the number of satellites we have in orbit could jeopardize our ability to fulfill obligations under customer contracts, which could, in turn, result in reduced sales, contract penalties or terminations and damage to customer relationships and our reputation, and could have a material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impacted by increases in the prices of raw materials used in the production of our satellites. We monitor sources of supply in an effort to ensure that adequate raw materials and other components and supplies are available. Prolonged disruptions in the supply of any of our key raw materials or components, difficulty completing qualification of new sources of supply or implementing use of replacement materials, components or new sources of supply, or a continuing increase in the prices of raw materials, energy or components, including as a result of interest rate volatility, rising interest rates and geopolitical conditions could have a material adverse effect on our operating results, financial condition, and cash flows. Moreover, the imposition of tariffs or import/export restrictions on raw materials or supplied components could have a material adverse effect on our operations.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cannot give any assurance that our suppliers have obtained and will be able to obtain or maintain all licenses, permits and approvals necessary for their operations to comply with all applicable laws and regulations, and failure to do so by them may lead to interruption in their business operations, which in turn may result in shortages of components supplied to us.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depend on ground station and cloud-based computing infrastructure operated by third parties for value added services, and any errors, disruption, performance problems or failure in their or our operational infrastructure could materially and adversely affect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the technology, infrastructure, and software applications, including software-as-a-service offerings, of certain third parties, such as ground station infrastructure operated by two separate third-party vendors, in order to launch and deliver our satellites into space and operate some or all of certain key features or functions of our business, including deployment of our cloud-based imagery services and other geospatial and data analytic services. We do not have control over the operations of the facilities of the third parties that we use. If any of these third-party services experience errors, disruptions, security issues, or other performance deficiencies, if they are updated such that they become incompatible, if these services, software, or hardware fail or become unavailable due to extended outages, interruptions, defects, or otherwise, or if they are no longer available on commercially reasonable terms or prices (or at all), these issues could result in errors or defects in the delivery of our EO services, or our ability to manage our operations could be interrupted until equivalent services or technology, if available, are identified, procured, and implemented, all of which may take significant time and resources, increase our costs, and could materially and adversely affect our business, financial condition, and results of operations.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customer contracts may require us to meet certain minimum service requirements which can vary significantly from customer to customer. Any failure to meet our service requirements may materially and adversely affect our business, results of operations and financial condition.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agreements with customers may provide for minimum service level commitments, which contain specifications regarding the availability and performance of our products and services such as assured access and guaranteed capacity. Any failure of or disruption to our infrastructure could impact the performance of our satellites and the availability of our products and services to our customers. Although our customers will expect some level of potential disruption based on the product specifications and general operational conditions, if we are unable to meet any minimum service requirements or if we suffer extended periods of poor performance or unavailability of our products and services, we may lose customer contracts and suffer reputational harm which could materially and adversely affect our business, financial condition, and results of operations.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Market acceptance of our EO services may not continue, and our business is dependent upon our ability to keep pace with the latest technological changes.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for our EO services is characterized by rapid technological change and evolving industry standards. Failure to respond in a timely and cost-effective way to these technological developments could have a material adverse effect on our business and operating results. As a result, our success will depend, in part, on our ability to develop and market service offerings that respond in a timely manner to the technological advances and needs of our customers, and evolving industry standards. In addition, although in the near term, we intend to derive substantial revenues from providing EO services to government D&amp;I agencies, in the longer-term, we intend to expand our operations to serve commercial customers in a variety of markets and industries and through a wide range of applications.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in order to remain competitive in the future, we will need to continue to invest significant financial resources to improve the technology of our existing products and services and develop new products and services both for existing applications and new commercial applications, including through internal R&amp;D, acquisitions and joint ventures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collaboration arrangements. These expenditures could divert our attention and resources from other projects, and we cannot be sure that these expenditures will ultimately lead to the timely development of new product or service offerings and technologies, or identification of and expansion into new markets and applications. In addition, following the establishment of our Space Systems business line, we are increasingly reliant on our ability to build and launch satellites quickly, in large volumes and at low cost. Our profitability will be dependent on our competitiveness in this area, as our competitors advance their own ability to build and launch satellites, at greater speeds, in greater volumes, and at lower costs.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design complexity of our products and services, we may, in the future, experience delays in completing the development and introduction of new or enhanced products or product applications. Any such delays could result in increased costs of development or deflect resources from other projects. In addition, there can be no assurance that the market for our EO services will develop or continue to expand or that we will be successful in identifying new markets or applications as we currently anticipate. The failure of our technology to gain market acceptance could significantly reduce our planned revenues and harm our business. Market acceptance of our products and services depends on a number of factors, including the quality, scope, timeliness, sophistication, and price of substitute products and services. We cannot be sure that our competitors will not develop competing technologies that gain market acceptance in advance of our technologies or develop technologies that better meet the needs of our customers. The possibility exists that our competitors might develop new technology or offerings that might cause our existing technology and offerings to become obsolete. If we fail to develop, manufacture, and market innovative technologies that enable our products and services to meet customers’ requirements or our technologies fail to achieve market acceptance more rapidly as compared to our competitors, our ability to procure new contracts could be negatively impacted and our business may not continue to grow in line with expectations or at all. If we are unable to achieve sustained growth, we may be unable to execute our business strategy, expand our business or fund other liquidity needs and our business, financial condition, and results of operations could be materially and adversely affected.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identify suitable acquisition candidates or consummate acquisitions on acceptable terms, or we may be unable to successfully integrate acquisitions, which could disrupt our operations and materially and adversely impact our business and operating results.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pursue acquisitions of complementary technologies, products and businesses as a component of our growth strategy. Acquisitions involve certain known and unknown risks that could cause our sales growth or operating results to differ from our expectations. For example: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may not be able to identify suitable acquisition candidates or to consummate acquisitions on acceptable terms;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may not be able to obtain the necessary financing, on favorable terms or at all, to finance any or all of our potential acquisitions;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acquired technologies, products or businesses may not perform as we expect and we may fail to realize the anticipated benefits from the acquisition.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acquisition strategy may divert management’s attention away from our existing business, resulting in the loss of key customers or employees, and expose us to unanticipated problems or legal liabilities, including responsibility as a successor for undisclosed or contingent liabilities of acquired businesses or assets.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effectively conduct due diligence on our potential targets, for example, we may not identify problems at target companies or we may fail to recognize incompatibilities or other obstacles to successful integration. Our inability to successfully integrate future acquisitions could impede us from realizing all of the benefits of those acquisitions and could materially weaken our business operations. The integration process may disrupt our business and, if new technologies, products or businesses are not implemented effectively, may preclude the realization of the full benefits expected by us and could harm our results of operations. In addition, the overall integration of new technologies, products or businesses may result in unanticipated problems, expenses, liabilities and competitive responses.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even if the operations of an acquisition are integrated successfully, we may not realize the full benefits of the acquisition, including the synergies, cost savings or growth opportunities that we expect. These benefits may not be achieved within the anticipated time frame, or at all. Further, acquisitions may cause us to issue securities that would dilute our current stockholders’ ownership percentage, use a substantial portion of our cash resources, experience volatility in earnings due to changes in contingent consideration related to acquisition earn-out liability estimates or become subject to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face competition for EO services which may limit our ability to gain market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the NewSpace sector, which refers to the increased commercialization and privatization of the space sector. Competition in our imagery services business is highly diverse, and while our competitors offer different products, there is often competition for contracts that are part of governmental budgets. The major existing and potential competitors for our EO services include commercial satellite imagery companies, state-owned imagery providers, aerial imagery companies, free sources of imagery and unmanned aerial vehicles. We also face competition from companies that provide geospatial data analytic information and services to the U.S. government, including defense prime contractors.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leverage our superior unit economics and put enough satellites in orbit to remap the entire surface of the earth in high-resolution on a daily basis and, in doing so expect to deliver our data to customers at near zero marginal cost which we believe will provide us with a competitive advantage against an existing EO market that is currently supply-constrained. However, our competitors or potential competitors could, in the future, offer satellite-based imagery or other products and services with more attractive features than our products and services which could outweigh the lower cost of our products and services. Our competitors could introduce new fleets of satellites, experience fewer delays in the rollout of new satellites, and could be awarded government contracts for which we are competing. The emergence of new remote imaging technologies or the continued growth of low-cost imaging satellites could negatively affect our sales efforts. More importantly, if competitors develop and launch satellites or other imagery-content sources with more advanced capabilities and technologies than ours, or offer products and services at lower prices than ours, our business and results of operations could be harmed.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government and foreign governments may develop, construct, launch and operate their own imagery satellites, which could reduce their need to rely on us and other commercial suppliers. In addition, such governments could sell or provide free of charge imagery from their satellites and thereby compete with our EO services. Also, governments may at times make our imagery freely available for humanitarian purposes, which could impair our revenue growth with non-governmental organizations.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some of our international competitors currently benefit from, and others may benefit in the future from, subsidies and other protective measures implemented by their home countries where governments are providing financial support, including significant investments in the development of new technologies. Government support of this nature greatly reduces the commercial risks associated with satellite development activities for these competitors. This market environment may result in increased pressures on our pricing and other competitive factors.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competitors have made or could make acquisitions of businesses that allow them to offer more competitive and comprehensive solutions. As a result of such acquisitions, our current or potential competitors may be able to accelerate the adoption of new technologies that better address customer needs, devote greater resources to bring these products and services to market, initiate or withstand substantial price competition, or develop and expand their product and service offerings more quickly than us. These competitive pressures in our market or our failure to compete effectively may result in fewer orders and reduced revenue and margins and impair our ability to acquire market share. In addition, it is possible that industry consolidation may impact customers’ perceptions of the viability of smaller or even mid-size companies and consequently customers’ willingness to purchase from such firms.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compete successfully against our current or potential competitors. If we are unable to compete successfully, or if competing successfully requires us to take costly actions in response to the actions of our competitors, our business, financial condition, and results of operations could be materially and adversely affected. In addition, companies competing with us may have an entirely different pricing or distribution model from ours. Increased competition could result in fewer customer contracts, price reductions, reduced margins, and inability to gain market share, any of which could harm our business and results of operations.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fail to foresee challenges with international operations or the regulatory environment in certain markets may unexpectedly change.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will depend heavily upon our ability to oversee production operations at facilities and locations outside of our current countries of operation and management’s day-to-day oversight. Our international operations expose us to numerous challenges and risks including, but not limited to, adverse political, regulatory, legislative, and economic conditions in various jurisdictions; costs of complying with varying governmental regulations; fluctuations in currency exchange rates; and difficulties in protecting intellectual property rights in foreign countries. Unforeseen challenges in sustaining efficient operations, decreases in product quality, language and cultural differences, political and economic unrest, unexpected changes in the regulatory environment or theft of intellectual property from our satellite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facilities, or other yet-undiscovered challenges, could materially and adversely affect us, our business, financial position, and results of operations.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products and services are complex and could have unknown defects or errors, which may increase our costs, harm our reputation with customers, give rise to costly litigation, or divert our or our customers’ resources from other purposes.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employ sophisticated design and testing processes and practices. Nevertheless, our products and services may contain defects or errors, or experience performance problems when first introduced, when new versions or enhancements are released, or even after these products have been in use for a period of time. Our systems may not be successfully implemented, pass required acceptance criteria, or operate or give the desired output, or it may not be able to detect and fix all defects in our satellites and our EO services, or resolve any delays or availability issues in the launch services we procure. These problems could result in expensive and time-consuming design modifications, delays in the introduction of new products or enhancements, significant increases in our service and maintenance costs, termination of contracts for convenience or cause, diversion of our personnel’s attention from our product development efforts, exposure to liability for damages, damaged customer relationships, and harm to our reputation, any of which could materially and adversely harm our results of operations. In addition, increased development costs could be substantial.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is capital intensive, and we may not be able to raise adequate capital to finance our business strategies, including funding future satellites, or we may be able to do so only on terms that significantly restrict our ability to operate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Implementation of our business strategy, such as expanding our satellite constellation and our product and service offerings, requires a substantial outlay of capital. As we pursue our business strategies and seek to respond to opportunities and trends in our industry, our actual capital expenditures may differ from our expected capital expenditures. The nature of our business also requires us to make capital expenditure decisions in anticipation of customer demand, and we may not be able to correctly predict such demand. If our customer demand exceeds our ability to respond to that demand, we may not be able to fully capture the growth in demand.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provide assurances that our businesses will generate sufficient cash flow from operations in the future or that additional capital will be available in amounts sufficient to enable us to execute our business strategies. As discussed below, our ability to satisfy our longer-term liquidity will depend primarily on our ability to grow our revenue and meet our revenue targets, and additional funding may be required for a variety of reasons. The availability and cost to us of external financing depend on a number of factors, including general market conditions, our financial performance and our credit rating. Both our credit rating and our ability to obtain financing generally may be influenced by the supply and demand characteristics of our industry generally. Declines in our expected future revenue under contracts with customers and challenging business conditions faced by our customers are among factors that may adversely affect our credit. Other factors that could impact our credit include the amount of debt in our capital structure, activities associated with our strategic initiatives, our expected future cash flows, and the capital expenditures required to execute our business strategy. The overall impact on our financial condition of any transaction that we pursue may be negative or may be negatively perceived by the financial markets and ratings agencies, and may result in adverse rating agency actions with respect to any credit rating we may have from time to time. Disruption in the capital markets, including as a result of interest rate volatility and geopolitical instability, a deterioration in our financial performance or a credit rating downgrade could limit our ability to obtain financing or could result in any such financing being available only at greater cost or on more restrictive terms than might otherwise be available.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disruptions in the capital and credit markets as a result of uncertainty due to recessions, changing or increased regulation or failures of significant financial institutions could adversely affect our access to capital. If financial market disruptions occur, it may become difficult for us to raise additional capital or refinance debt when needed, on acceptable terms or at all. Any disruption could require us to take measures to conserve cash until the markets stabilize or until alternative credit arrangements or other funding for our business needs can be arranged. Such measures could include deferring capital expenditures and reducing or eliminating other discretionary uses of cash, which could materially and adversely impact our business and our ability to execute our business strategies.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There is substantial doubt about our ability to continue as a going concern.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audited consolidated annual financial statements as of December 31, 2023 have been prepared under the assumption that we will continue as a going concern for the next twelve months. As of December 31, 2023, we had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cash equivalents of $23.5 million and an accumulated deficit of $283.8 million. We do not believe that our cash and cash equivalents are sufficient to fund operations and capital expenditures to reach larger scale revenue generation from our product offerings. As a result of our financial condition and other factors described herein, there is substantial doubt about our ability to continue as a going concern. Our ability to continue as a going concern will depend on our ability to obtain additional funding, as to which no assurances can be given. We continue to analyze various alternatives, including potentially obtaining debt or equity financings or other arrangements. Our future success depends on our ability to raise capital. We cannot be certain that raising additional capital, whether through selling additional debt or equity securities or obtaining a line of credit or other loan, will be available to us or, if available, will be on terms acceptable to us. If we are unable to obtain funds when needed or on acceptable terms, we may be required to curtail our current development programs, cut operating costs, forgo future development and other opportunities, or even terminate our operations.</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Relating to Our Satellites and Industry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grow our business depends on the successful production, launch, commissioning and/ or operation of our satellites and related ground systems, software and analytic technologies, which is subject to many uncertainties, some of which are beyond our control.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primary R&amp;D objectives focus on the development of satellites and related components that can remap the entire surface of the Earth in high resolution as well as our EO services, including creating a catalog of archived data. While we currently have 25 satellites in orbit, we estimate the gross costs associated with designing, building, and launching our satellites to build out our constellation will be significant, and there can be no assurance that we will complete these deployments on a timely basis, on budget or at all. Design, manufacture and launch of satellite systems are highly complex and historically have been subject to delays and cost over-runs. If we do not complete development and manufacturing of additional satellites in our anticipated timeframes or at all, our ability to grow our business will be adversely affected. The successful development, integration, and operation of our satellites and our EO services involves many uncertainties, some of which are beyond our control, including, but not limited to: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timing in finalizing satellite design and specifications;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performance of satellites meeting design specifications;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failure of satellites as a result of technological or manufacturing difficulties, design issues or other unforeseen matters;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engineering and/or manufacturing performance failing or falling below expected levels of output or efficiency;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increases in costs of materials and supplied components and services;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changes in project scope;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ability to obtain additional applicable approvals, licenses or certifications from regulatory agencies, if required, and to maintain current approvals, licenses or certifications;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performance of our manufacturing facilities despite risks that disrupt productions, such as natural disasters, catastrophic events or labor disputes;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performance of a limited number of suppliers for certain raw materials and supplied components, the accuracy of supplier representations as to the suitability of such raw materials and supplied components for our products, and their willingness to do business with us;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performance of our internal and third-party resources that support our R&amp;D activities;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ability to protect our intellectual property critical to the design and function of our satellites and our EO services;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ability to continue funding and maintaining our R&amp;D activities;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successful completion of demonstration missions;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impact of public health emergencies on us, our customers and suppliers, and the global economy.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occurrence or failure of any of the above events, as applicable, could have a material adverse effect on our ability to continue to develop, integrate and operate our satellites and related infrastructure, products, and services, which could materially adversely affect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market for EO services has not been established with precision, is still emerging and may not achieve the growth potential we expect or may grow more slowly than expected.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for EO services has not been established with precision as the commercialization of space is a relatively new development and is rapidly evolving. Our views of the total addressable market are based on a number of third-party reports which may or may not accurately reflect future market size and growth. As a result, our views of the total addressable market for our products and services may prove to be incorrect. In addition, if interest in our EO services by commercial customers, or the expected growth in commercial applications for EO services, is less than expected, or our satellite and related technologies are unable to meet expected customer expectations and demand, our business and financial results will be materially and adversely affected.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industry is characterized by changing technology and evolving standards, and we may not be successful in identifying, developing and marketing products and services that respond to rapid technological change, evolving technical standards and systems developed by others. Our competitors may develop technology that better meets the needs of our customers. If we do not continue to develop, manufacture, and market innovative technologies or applications that meet customers’ requirements, sales may suffer, and we may not be able to grow our business. If we are unable to achieve sustained growth, we may be unable to execute our business strategy, expand our business or fund other liquidity needs, and our business prospects, financial condition, and results of operations could be materially and adversely affected.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our satellites and related equipment become impaired, it could have a material adverse effect on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our satellites for impairment and test for recoverability whenever events or changes in circumstances indicate that their carrying amount may not be recoverable. Certain of the anomalies disclosed below may be considered to represent a significant adverse change in the physical condition of a particular satellite. There can be no assurance as to the actual operational life of a satellite or that the operational life of individual components will be consistent with their design life. A number of factors will impact the useful lives of our satellites, including, among other things, the quality of their design and construction, the durability of their component parts, and the occurrence of any anomaly or series of anomalies or other risks affecting the satellites during launch and in orbit. We currently anticipate the useful life of an operational satellite to be approximately three years. If our satellites and related equipment have shorter useful lives than we currently anticipate, this may lead to delays in increasing the rate of our commercial payloads and declines in actual or planned revenues, which would have a material adverse effect on our business, financial condition, and results of operations.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are tested periodically for impairment or whenever there is an indication that an asset may be impaired. Disruptions to our business, unexpected significant declines in our operating results, adverse technological events or changes in the regulatory environments in which we operate may result in impairment charges to our assets. Any future impairment charges could substantially affect our reported results.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our satellites fail to operate as intended, it could have a material adverse effect on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data obtained from our satellites in order to provide services to our customers. We may become unable or limited in our ability to collect such data. For example, satellites can temporarily go out of service and be recovered, or cease to function, including the quality of design and construction, the rate of consumption of the propellant supply, the expected gradual environmental degradation of solar panels, the durability of various satellite components and the orbits and space environments in which the satellites are placed and operated. The accumulated effects of solar radiation and single event upsets or electronic/catch-up events from the collision of charged particles, collisions with other objects (including, but not limited to, space debris and other spacecraft) or actions by malicious actors, including cyber-related actions, could also damage the satellites and subject us to liabilities for any damages caused to other spacecraft.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manufacturing, testing, launching and operation of satellites involves complex processes and technology. Our satellites employ advanced technologies and sensors that are exposed to severe environmental stresses that have affected and could affect the performance of our satellites. Hardware component problems could lead to deterioration in performance or loss of functionality of a satellite. In addition, human operators may execute improper implementation commands that may negatively impact a satellite’s performance. Exposure of our satellites to an unanticipated catastrophic event, such as a meteor shower or a collision with space debris, could reduce the performance of, or completely destroy, the affected satellite. Even if a satellite is operated properly, minor technical flaws in the satellite’s sensors could significantly degrade its performance, which could materially affect our ability to collect imagery and market our products and services successfully.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Satellites can experience malfunctions, commonly referred to as anomalies, which have occurred and may occur in the future in our satellites. Anomalies can occur as a result of various factors, such as satellite manufacturer error, whether due to the use of new or largely unproven technology or due to a design, manufacturing or assembly defect that was not discovered before launch and general failures resulting from operating satellites in the space environment. Any single anomaly could materially and adversely affect our ability to utilize the satellite. Anomalies may also reduce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In addition, if a satellite or satellites experience a malfunction, the satellite capacity of our non-impacted network may be insufficient to meet all of our customers’ needs or may cause service interruptions, and we may need to potentially blackout or reduce service to certain customers, which would adversely affect our relationships with our customers and result in loss of revenues. Although we work diligently both internally and with our suppliers to determine and eliminate the cause of anomalies in new satellites and provide for redundancies of many critical components in our satellites, we may not be able to prevent the impact of anomalies in the future.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provide assurances that our satellites will continue to operate successfully in space throughout their expected operational lives. Even if a satellite is operated properly, technical flaws in that satellite’s sensors or other technical deficiencies or anomalies could significantly hinder its performance, which could materially affect our ability to collect imagery and market our products and services successfully. While certain software deficiencies may be corrected remotely, most, if not all, anomalies or debris collision damage cannot be corrected once the satellites are placed in orbit. Further, although we have some ability to actively maneuver our satellites to avoid potential collisions with space debris or other spacecraft, this ability is limited by, among other factors, uncertainties and inaccuracies in the projected orbit location of and predicted conjunctions with debris objects tracked and cataloged by the U.S. government. Additionally, some space debris is too small to be tracked and therefore its orbital location is completely unknown; nevertheless, this debris is still large enough to potentially cause severe damage or a failure of our satellites should a collision occur. Recent years have seen increases in the number of satellites deployed to low Earth orbits, and publicly announced plans call for many thousands of additional satellite deployments over the next decade. The proliferation of these low Earth orbit constellations could materially increase the risk of potential collision with space debris or another spacecraft despite the orbital debris mitigation requirements of the U.S. government, and could affect our ability to effectively access sufficient orbital slots to support the expected growth across our business.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suffer a partial or total loss of a deployed satellite, it could require a significant amount of time and could incur substantial expense to replace that satellite. We may experience other problems with our satellites that may reduce their performance. If a satellite is not fully operational, we may lose most or all of the revenue that otherwise would have been derived from that satellite and may not be able to provide adequate services to our customers, which may cause us to incur penalties under our contracts or may allow our customers to withhold payment for the time that service was impacted. Our inability to repair or replace a defective satellite or correct any other technical problem in a timely manner could result in a significant loss of revenue. If a satellite experiences a significant anomaly such that it becomes impaired or is no longer functional, it could significantly impact our business, prospects, and profitability.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satellites have redundant or backup systems and components that operate in the event of an anomaly, operational failure or degradation of primary critical components, but these redundant or backup systems and components are subject to risk of failure similar to those experienced by the primary systems and components. The occurrence of a failure of any of these redundant or backup systems and components could materially impair the useful life, capacity, or operational capabilities of the satellite.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Satellites are subject to production and launch delays, launch failures, and damage or destruction during launch, the occurrence of which could materially and adversely affect our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Delays in the production of future satellites and the manufacture or procurement of requisite components and launch vehicles, limited availability of appropriate launch windows, possible delays in obtaining regulatory approvals, satellite damage or destruction during launch, launch failures, or incorrect orbital placement could have a material adverse effect on our business, financial condition, and results of operations. The loss of, or damage to, a satellite due to a launch failure could result in significant delays in the anticipated revenue to be generated by that satellite. Any significant delay in the commencement of service of a satellite could delay or potentially permanently reduce the revenue anticipated to be generated by that satellite. In addition, if the loss of a satellite were to occur, we may not be able to accommodate affected customers with our other satellites or data from another source until a replacement satellite is available, and we may not have on hand, or be able to obtain in a timely manner, the necessary funds to cover the cost of any necessary satellite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replacement. An extended launch delay beyond planned contingency, launch failure, underperformance, delay or perceived delay could have a material adverse effect on our business prospects, financial condition, and results of operations. If delays were to occur and our remediation measures and process changes were not successful or if we experience issues with planned manufacturing improvements or design and safety, we could experience issues in scaling up further satellite production. Such delays could cause us to fail to reach our goal of expanding and scaling our constellation of satellites. A failure to reach a sufficient number of satellites in our constellation may impact the revisit rates we are able to offer our customers and limit our product offerings, thereby making us less attractive to existing and potential customers.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Launch vehicles may also underperform, in which case the satellite may still be placed into service by using its onboard propulsion systems to reach the desired orbital location, resulting in a reduction in its service life. In addition, although we intend to purchase launch insurance on all of our launches, if we were not able to obtain launch insurance on commercially reasonable terms and a launch failure were to occur, we would directly suffer the loss of the cost of the satellite and related costs.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involves significant risks and uncertainties that may not be covered by insurance or insurance coverage may be insufficient or unavailable on acceptable cost and terms, if at all.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endeavor to obtain insurance coverage from established insurance carriers to cover certain risks and liabilities related to our business. However, the amount of insurance coverage that we maintain may not be adequate to cover all claims or liabilities. Obtaining adequate insurance poses challenges as the price and availability of insurance fluctuates significantly and insurance market conditions or factors outside our control at the time we are in the market for the required insurance, such as failure of a satellite using similar components, could cause premiums to be significantly higher than current estimates and could reduce amounts of available coverage. The cost of our insurance has been increasing and may continue to increase. Higher premiums on insurance policies will reduce our operating income by the amount of such increased premiums, or we may be forced to purchase lower-cost policies that include terms less favorable to us, such as additional coverage exclusions or higher deductibles. If the terms of insurance policies become less favorable than those currently available, there may be limits on the amount of coverage that we can obtain, or we may not be able to obtain insurance at all. </w:t>
      </w:r>
    </w:p>
    <w:p>
      <w:pPr>
        <w:pStyle w:val="TextBody"/>
        <w:bidi w:val="0"/>
        <w:spacing w:before="120" w:after="283"/>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existing coverage may be canceled while we remain exposed to the relevant risks and we are unable to obtain insurance to protect against all operational risks, natural hazards and liabilities. Although we maintain insurance policies that we believe to be adequate, we cannot provide assurance that this insurance will be adequate to protect us from all material judgments and expenses related to potential future claims or that these levels of insurance will be available in the future at economical prices or at all. A successful liability claim could result in substantial cost to us. Even if we are fully insured as it relates to a claim, such claim could nevertheless diminish our brand and divert management’s attention and resources, which could have a negative impact on our business, financial condition, and results of operations. </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purchased pre-launch and launch insurance to address the risk of potential systemic anomalies, failures, collisions with our satellites or other satellites or debris, or catastrophic events during launch, to the extent that insurance was available on acceptable premiums and other terms. The insurance proceeds received in connection with a partial or total loss of the functional capacity of any of our satellites would not be sufficient to cover the replacement cost of an equivalent satellite if we choose to replace such impacted satellite. In addition, this insurance will not protect us against all losses to our satellites due to specified exclusions, applicable deductibles and material change limitations, and it may be difficult to insure against certain risks, including a partial deterioration in satellite performance and satellite re-entry.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maintain pre-launch and launch insurance coverage for our satellites, we do not maintain in-orbit lifecycle insurance coverage. Any damage or destruction to our satellites while in orbit as a result of anomalies, failures, collisions with our satellites or other satellites or debris, radiation damage or other catastrophic event will not be covered by insurance, and accordingly, we will be required to pay for the repair or replacement of such satellite which may have a material adverse effect on our financial condition, and results of operations.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maintain third-party liability insurance with respect to our satellites. Accordingly, we currently have no insurance to cover any third-party damages that may be caused by any of our satellites, including personal and property insurance. If we experience significant uninsured losses, such events could have a material adverse impact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Coordination results may adversely affect our ability to use our satellites in certain orbital locations for our proposed service or coverage area or may delay our ability to launch satellites and thereby limit our ability to provide our proposed services.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be required to record orbital locations and operational parameters of our satellites with the ITU and to coordinate with other satellite operators and national administrations the use of these orbital locations and operational parameters in order to avoid interference to or from other satellites. The results of coordination may adversely affect our use of our satellites using certain orbital locations and the type of applications or services that we can accommodate. If we are unable to coordinate our satellites by specified deadlines, we may not be able to use our satellites or certain orbital locations for our proposed service or coverage area, or we may lose interference protection for our satellites. The use of our satellites may also be temporarily or permanently adversely affected if the operation of other satellite networks do not conform to coordination agreements resulting in the acceptable interference levels being exceeded (such as due to operational errors associated with the transmissions to other satellite networks).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Natural disasters, unusual weather conditions, pandemic or epidemic outbreaks, terrorist acts and geopolitical events could disrupt our business or satellite launch schedules. Interruption or failure of our infrastructure could hurt our ability to effectively perform our daily operations and provide and produce our products and services, which could damage our reputation and materially and adversely affect our operating results.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vulnerable to natural disasters and significant disruptions including tsunamis, floods, earthquakes, fires, water shortages, other extreme or unusual weather conditions, epidemics or pandemics, acts of terrorism or disruptive geopolitical events (including the ongoing conflicts between Russia and Ukraine, in the Gaza Strip and the Red Sea region) where our facilities or the launch facilities of our transport partners are located, or where our third-party suppliers’ facilities are located, power shortages and blackouts, aging infrastructures and telecommunications failures. Furthermore, climate change has increased, and may continue to increase, the rate, size and scope of these natural disasters. In the event of such a natural disaster or other disruption, we could experience disruptions to our operations or the operations of suppliers, subcontractors, distributors or customers, which could affect our ability to maintain launch schedules or fulfill our customer contracts.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of many of our EO services depends on the continuing operation of our satellite operations infrastructure, satellite manufacturing operations, information technology and communications systems, some of which are supported by third-party vendors that are not under our control. Any downtime, damage to or failure of our systems could result in interruptions in our service, which could reduce our revenues. Our systems are vulnerable to damage or interruption from floods, fires, power loss, aging infrastructure, telecommunications failures, computer viruses, computer denial of service attacks or other attempts to harm our systems. In the event we are unable to collect, process and deliver imagery from our facility, our daily operations and operating results would be materially and adversely affected. In addition, our ground terminal centers are vulnerable to damage or interruption from human error, intentional bad acts, earthquakes, hurricanes, floods, fires, war, terrorist attacks, power losses, hardware failures, systems failures, aging infrastructure, telecommunications failures and similar events.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occurrence and impact of any of the foregoing is difficult to predict, but one or more of them could result in lengthy interruptions in our services and/or damage our reputation, which could have a material adverse effect on our business, financial condition, results of operations, and/or cash flows.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Prolonged unfavorable weather conditions could negatively impact our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for satellites to collect and deliver imagery effectively, the satellite must be able to view the desired area on a certain day and at a certain time as it passes overhead. Adverse weather conditions, such as clouds or haze, may prevent satellites from collecting data and imagery or could cause the satellite to experience technical difficulties communicating with the ground terminals or collecting imagery in the same quality or volume that was intended. In addition, space weather, such as solar flares, could take our satellites out of orbit, disrupt our ground communication networks and affect the decay rate of our satellites. The occurrence of any of the foregoing could result in lengthy interruptions in our services and/or damage our reputation, which could have a material adverse effect on our business, financial condition, and results of operations.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Relating to the Change in Our Jurisdiction of Incorporation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anticipated benefits of our domestication from the British Virgin Islands to Delaware are subject to numerous risks and uncertainties, and may not materialize.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change the jurisdiction of incorporation from the BVI to Delaware, which change is referred to as the “Domestication.” We have recently begun taking steps to effect the Domestication, such as filing a registration statement on Form S-4, for the purpose of registering our outstanding Class A ordinary shares, Class B ordinary shares, and warrants to purchase our Class A ordinary shares, which upon the effectiveness, the Domestication will automatically convert on a one-for-one basis into Class A common stock, Class B common stock, and warrants to purchase Class A common stock, which will comprise our authorized capital as a Delaware entity. There can be no assurance that the Domestication will be successful, but if it is, our organizational documents will change and will be governed by Delaware law rather than BVI law.</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Acquiring D&amp;I related governmental contracts, including D&amp;I contracts with U.S. governmental agencies, is part of our growth strategy. We anticipate that the Domestication will reduce barriers to our pursuit of D&amp;I-related contracts with U.S. governmental customers. However, our ability to obtain D&amp;I-related contracts with U.S. governmental customers is subject to numerous risks, including among others, the demand for EO services (or the demand for their incorporation into defense programs), our ability to comply with laws, regulations and rules applicable to U.S. governmental customers designed to mitigate the potential for undue foreign ownership control and ownership, including our ability to make changes to our management and corporate governance structure in order to comply with such laws, rules and regulations, changes in government administration and national priorities, competition from other suppliers, and consolidation amongst U.S. defense industry contractors, which may decrease our relative bargaining power. Any such adverse impact to our ability to successfully obtain D&amp;I-related contracts with U.S. governmental agencies following the Domestication may negatively impact our business and financial condition.</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In connection with the Domestication, we will lose our foreign private issuer status, which will require us to comply with the Exchange Act’s domestic reporting regime and cause us to incur significant legal, accounting and other expenses.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effectiveness of the Domestication, we qualify as a foreign private issuer and therefore we are not required to comply with all of the periodic disclosure and current reporting requirements of the Exchange Act applicable to U.S. domestic issuers. Upon the effectiveness of the Domestication, we will no longer be a foreign private issuer, which will require us to comply with all of the periodic disclosure and current reporting requirements of the Exchange Act applicable to U.S. domestic issuers. In particular, we will be required to comply with the Exchange Act reporting and other requirements applicable to U.S. domestic issuers, which are more detailed and extensive than the requirements for foreign private issuers. We will also be required to make changes in our corporate governance practices in accordance with various SEC and Nasdaq rules. The regulatory and compliance costs to us under U.S. securities laws to comply with the reporting requirements applicable to a U.S. domestic issuer will likely be significantly higher than the cost we have historically incurred as a foreign private issuer. As a result, we expect that the loss of foreign private issuer status will increase our legal and financial compliance costs and will make some activities highly time consuming and costly. We expect that complying with the rules and regulations applicable to U.S. domestic issuers will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and members of our senior management.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Domestication may result in adverse tax consequences for our stockholders.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Our stockholders may be subject to adverse tax consequences if the Domestication occurs. In particular, if a stockholder is a U.S. holder (as defined under “</w:t>
      </w:r>
      <w:r>
        <w:rPr>
          <w:rFonts w:ascii="Times New Roman;sans-serif" w:hAnsi="Times New Roman;sans-serif"/>
          <w:b w:val="false"/>
          <w:i/>
          <w:color w:val="000000"/>
          <w:sz w:val="20"/>
        </w:rPr>
        <w:t>Item 10. Additional Information—E. Taxation—U.S. Federal Income Taxation</w:t>
      </w:r>
      <w:r>
        <w:rPr>
          <w:color w:val="000000"/>
        </w:rPr>
        <w:t>”</w:t>
      </w:r>
      <w:r>
        <w:rPr>
          <w:rFonts w:ascii="Times New Roman;sans-serif" w:hAnsi="Times New Roman;sans-serif"/>
          <w:b w:val="false"/>
          <w:color w:val="000000"/>
          <w:sz w:val="20"/>
        </w:rPr>
        <w:t>), he, she or it may be subject to U.S. federal income tax as a result of the Domestication. If the stockholder is a non-U.S. holder (as defined under “</w:t>
      </w:r>
      <w:r>
        <w:rPr>
          <w:rFonts w:ascii="Times New Roman;sans-serif" w:hAnsi="Times New Roman;sans-serif"/>
          <w:b w:val="false"/>
          <w:i/>
          <w:color w:val="000000"/>
          <w:sz w:val="20"/>
        </w:rPr>
        <w:t>Item 10. Additional Information—E. Taxation—U.S. Federal Income Taxation</w:t>
      </w:r>
      <w:r>
        <w:rPr>
          <w:color w:val="000000"/>
        </w:rPr>
        <w:t>”</w:t>
      </w:r>
      <w:r>
        <w:rPr>
          <w:rFonts w:ascii="Times New Roman;sans-serif" w:hAnsi="Times New Roman;sans-serif"/>
          <w:b w:val="false"/>
          <w:color w:val="000000"/>
          <w:sz w:val="20"/>
        </w:rPr>
        <w:t>), he, she or it may become subject to withholding tax on dividends paid on our common stock subsequent to the effectiveness of the Domestication. For additional information regarding the potential tax consequences of the Domestication, refer to our Registration Statement on Form F-4 (Registration No, 333-275875), filed with the SEC on December 4, 2023.</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Relating to Our Secured Convertible Notes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not have sufficient cash flows from our business to continue to sufficiently fund our operations and pay our substantial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highly leveraged. Our ability to make scheduled payments of the principal of, to pay interest on, or to refinance our indebtedness, including $30 million in aggregate principal amount of Secured Convertible Notes that mature in April 12, 2028, depends on our future performance, which is subject to economic, financial, competitive and other factors beyond our control. Our business may not continue to generate cash flow from operations in the future sufficient to support our operations, service our debt and make necessary capital expenditures. Our indebtedness may have important consequences to shareholders, including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we may have difficulty satisfying our obligations under the Secured Convertible Notes, and if we fail to comply with these requirements, an event of default could result;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required to dedicate a substantial portion of our cash flow from operations to required payments on indebtedness, thereby reducing the availability of cash flow for working capital, capital expenditures and other general corporate activities;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covenants relating to our debt may limit our ability to obtain additional financing for working capital;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covenants relating to our debt may limit our flexibility in planning for, or reacting to, changes in our business and the industry in which we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more vulnerable than our competitors to the impact of economic downturns and adverse developments in our business;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placed at a competitive disadvantage against any less-leveraged competitors.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Our ability to meet our future operating requirements, repay our liabilities, and meet our other obligations, and continue as a going concern is dependent upon a number of factors, including our ability to generate cash flows, adequately fund capital expenditure projects, maintain the listing of our Class A ordinary shares on the Nasdaq, obtain additional financing, and on the performance of our business, all of which are subject to the foregoing risks related to our indebtedness.</w:t>
      </w:r>
      <w:r>
        <w:rPr>
          <w:color w:val="000000"/>
        </w:rPr>
        <w:t xml:space="preserve"> </w:t>
      </w:r>
      <w:r>
        <w:rPr>
          <w:rFonts w:ascii="Times New Roman;sans-serif" w:hAnsi="Times New Roman;sans-serif"/>
          <w:b w:val="false"/>
          <w:color w:val="000000"/>
          <w:sz w:val="20"/>
        </w:rPr>
        <w:t xml:space="preserve">Further, we may incur additional indebtedness, which could further increase our risk exposure from debt and magnify the foregoing risks.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generate sufficient cash flow from our operations, we will be required to adopt one or more alternatives, subject to the restrictions contained in the Secured Convertible Notes, such as further reducing expenses, selling assets, restructuring debt, or obtaining additional capital on terms that may be onerous and which are likely to be highly dilutive. Also, our ability to raise additional capital and repay or restructure our indebtedness will depend on the capital markets and our financial condition at such time, among other factors. In addition, financing may not be available when needed, if at all, on terms acceptable to us or in compliance with the restrictions contained in our debt instruments. Furthermore, a determination that there is substantial doubt about a company’s ability to continue as a going concern is generally viewed unfavorably by current and prospective investors, as well as by analysts and creditors. As a result of these factors, we may not be able to engage in any of the alternative activities, or engage in such activities on desirable terms, which could harm our business, financial condition, and results of operations, as well as result in a default on our debt obligations. If we are unable to take these actions, we may be forced to significantly alter our business strategy, substantially curtail our current operations, or cease operations altogether.</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detail on the Secured Convertible Notes, see Item 4.B “Business Overview – Recent Developments.”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issuance of our Class A ordinary shares upon conversion of the Secured Convertible Notes or Class A ordinary shares that may otherwise be issued and/or sold by the Company or selling securityholders, could cause substantial dilution, which could materially affect the trading price of our Class A ordinary shares and could limit or preclude other shareholders’ ability to influence corporate matters.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the Secured Convertible Notes are converted or exercised, substantial amounts of our Class A ordinary shares will be issued. Under certain default circumstances, the Secured Convertible Notes may become exercisable at prevailing prices or discounts to prevailing prices, and the conversion price of the Secured Convertible Notes will be adjusted in the event that the Company issues additional equity securities under certain issuances below the applicable conversion and/or exercise price. As of April 12, 2024, the conversion of the Secured Convertible Notes would result in the holder holding approximately 21.6% of our Class A ordinary shares and 20.5% of the voting power of our Ordinary Shares. Although we cannot predict the number of our Class A ordinary shares that will actually be issued in connection with any such conversions and/or sales, such issuances could result in substantial decreases to our stock price.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the holder converts the Secured Convertible Notes, and for as long as it holds a significant amount of our Class A ordinary shares, the holder will be able to exert significant control over us. This concentrated control may limit or preclude other shareholders’ ability to influence corporate matters, including the election of directors, amendments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organizational documents, and any merger, consolidation, sale of all or substantially all of our assets, or other major corporate transaction requiring shareholder approval. In addition, this may prevent or discourage unsolicited acquisition proposals or offers for our Ordinary Shares that shareholders may believe are in their best interest. The holder may also determine to sell substantial amounts of our securities in one or more transactions, including to one or several private parties in negotiated transactions. In that case, those buyers may subsequently be able to exert significant control over us.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detail on the Secured Convertible Notes, see Item 4.B “Business Overview – Recent Developments”.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Secured Convertible Notes are secured by a security interest in substantially all of our assets, so if we default on those obligations, the noteholder could foreclose on, liquidate and/or take possession of our assets.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Secured Convertible Notes are secured by substantially all of our assets. Following an event of default on our obligations under the Secured Convertible Notes, the holder could foreclose on its security interests and liquidate or take possession of substantially all the assets of the Company and its subsidiaries, which would harm our business, financial condition, and results of operations and could require us to curtail, or even to cease our operations.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Provisions of the Secured Convertible Notes may prevent or frustrate attempts by third parties to acquire a controlling interest in us or change our management.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provisions of our Secured Convertible Notes may discourage, delay or prevent a merger, acquisition or other change in control of us that shareholders may consider favorable, including transactions in which shareholders might otherwise receive a premium for their shares. For instance, pursuant to the terms of the Secured Convertible Notes, the holder has the right to require us to repurchase their notes upon the occurrence of a change in control, at a repurchase price equal to a price equal to the greater of (i) 105% of the redemption value or (ii) 105% of the then-prevailing conversion value, plus accrued but unpaid interest thereon, as well as any other amounts owed. This use of cash may have a material adverse effect on our liquidity, and as a consequence, could increase the cost of acquiring us, or otherwise make us a less attractive target for acquisition, discouraging a third-party from attempting to acquire us or remove incumbent management, including in a transaction that shareholders may view as favorable.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detail on the Secured Convertible Notes, see Item 4.B “Business Overview – Recent Developments”.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Secured Convertible Notes include restrictions that may make it more difficult to execute our strategy or to effectively compete.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and qualifications, the Secured Convertible Notes restrict our ability and the ability of certain of our subsidiaries to, among other things: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incur additional debt and guarantees;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pay dividends and repurchase our Ordinary Shares;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make other restricted payments, including without limitation, investments;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create liens, including liens on the collateral;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sell or otherwise dispose of assets, including capital stock of restricted subsidiaries;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enter into sale and leaseback transactions;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enter into agreements that restrict dividends from subsidiaries;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enter into transactions with our affiliates;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consolidate, merge, sell or otherwise dispose of all or substantially all of our assets;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enter into new lines of business.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our Secured Convertible Notes also have the right to require us to repurchase their Secured Convertible Notes upon the occurrence of certain asset sales. These restrictions may make it difficult to successfully execute our business strategy, including by limiting our ability to engage in certain transactions, or effectively compete with companies that are not similarly restricted.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breach of any of these restrictive covenants could result in a default under the Secured Convertible Notes. If a default occurs, the holder may elect to declare 100% of the outstanding principal, together with accrued and unpaid interest and other fees, to be immediately due and payable. If we are unable to repay outstanding amounts when due, the holder will also have the right to proceeds against the collateral granted to them to secure the indebtedness owed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them. If our obligations under the Secured Convertible Notes were accelerated, we cannot assure you that our assets would be sufficient to repay in full such indebtedness.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detail on the Secured Convertible Notes, see Item 4.B “Business Overview – Recent Developments”.</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Relating to Legal and Regulatory Matters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stringent U.S. export and import control laws and regulations. Unfavorable changes in these laws and regulations or U.S. government licensing policies, our failure to maintain U.S. government authorizations under these laws and regulations, or our failure to comply with these laws and regulations could have a material adverse effect on our business,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global supply chain of upstream and downstream partners including manufacturers, suppliers and launch providers from a number of countries including the U.S. Based on these activities and our obligations under our NOAA licenses, we are required to comply with U.S. export control laws and regulations, including the Export Administration Regulations (“EAR”), administered by the U.S. Department of Commerce’s Bureau of Industry and Security (“BIS”). Pursuant to this regulation, we may be required, among other things, to (i) determine the proper licensing jurisdiction and export classification of products, software, and technology, and (ii) obtain licenses or other forms of U.S. government authorization to conduct some business related transactions. Violations of applicable export control laws and related regulations could result in criminal and administrative penalties, including fines, possible denial of export privileges, and debarment, which could have a material adverse impact on our business, including our ability to enter into contracts or subcontracts for U.S. government customers. U.S. export licenses are required to transfer or make accessible certain of our products, software and technical information to our non-U.S. employees (called “deemed exports”).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inability to secure and maintain other necessary export authorizations could negatively impact our ability to successfully compete or to operate our business as planned. For example, if we were unable to obtain or maintain our licenses to export certain spacecraft hardware, we would effectively be prohibited from launching our satellites from certain non-U.S. locations, which would limit the number of launch providers we could use. In addition, if we were unable to obtain a Department of State Technical Assistance Agreement to export certain launch related services, we would experience difficulties with or even be unable to perform integration activities necessary to safely integrate our transfer satellites to non-U.S. launch vehicles. In both cases, these restrictions could lead to higher launch costs which may have a material adverse impact on our results of operations. Similarly, if we were unable to secure effective export licensure to authorize the full scope of activity with a foreign partner or supplier, we may be required to make design changes to spacecraft or updates to our supplier chain, which may result in increased costs to us or delays in satellite launches.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changes in the export control regulations or U.S. government licensing policy, such as those necessary to implement U.S. government commitments to multilateral control regimes, may restrict our operations. There is no inherent right to perform an export and, given the significant discretion the U.S. government has in adjudicating such authorizations in furtherance of U.S. national security and foreign policy interests, there can be no assurance we will be successful in our current and future efforts to secure and maintain necessary licenses, registrations, or other U.S. government regulatory approvals.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U.S. export control laws continue to change. For example, the control lists under the ITAR and the EAR are periodically updated to reclassify specific types of export-controlled technology, meaning that any changes to the jurisdictional assignment of controlled data or hardware used by us could result in the need for different export authorizations, each then subject to a subsequent approval. Similarly, should exceptions or exemptions under the EAR or ITAR, respectively, be changed, our activities otherwise authorized via these mechanisms may become unavailable and could result in the need for additional export authorizations.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changes to the administrative implementation of export control laws at the agency level may suddenly occur as a result of geopolitical events, which could result in existing or proposed export authorization applications being viewed in unpredictable ways, or potentially rejected, as a result of the changed agency level protocol.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current business and operations require that we operate in compliance with and under the purview of some U.S. regulatory bodies.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With recent changes related to our positioning to serve U.S. government customers, our satellite operations are subject to U.S. regulation.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raw data collected by our constellation is collected through a series of ground stations strategically located in several global locations. We have a primary mission command control center in the U.S. that has ultimate operational control of our constellation and is supported by additional teams in each of Spain and Argentina. With the shift of ultimate operational constellation control to the U.S. last year, Satellogic filed for an operator’s license with NOAA which was granted in November 2023. We are currently pursuing a license with the Federal Communications Commission (“FCC”). We also find that we are subject to directly and through our contract with SpaceX for launch of our satellites, the U.S. regulations of the Federal Aviation Administration (“FAA”) licensing requirements. We have taken appropriate measures to assure full compliance with these and similar regulations.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successful in becoming a U.S. governmental contractor, our business will be subject to significant U.S. regulations, and reductions or changes in U.S. government spending, including the U.S. defense budget, could reduce our revenue and adversely affect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large part of our growth strategy includes obtaining U.S. governmental agency customers, particularly in D&amp;I, as well as U.S. commercial customers. If or when we contract with the U.S. government or, in certain circumstances, retain services from U.S. service providers, we must comply with a variety of U.S. laws and regulations. A violation of these laws and regulations could result in the imposition of fines and penalties to us or our customers or the termination of our or their contracts with the U.S. government. As a result, there could be a delay in our receipt of orders from our customers, a termination of such orders, or a termination of any contracts between us and the U.S. government.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potential future contracts with U.S. and international defense contractors or directly with the U.S. government may be on a commercial item basis, eliminating the requirement to disclose and certify cost data. To the extent that there are interpretations or changes in the Federal Acquisition Regulations (“FAR”) regarding the qualifications necessary to sell commercial items, there could be a material impact on our business and operating results. For example, there have been legislative proposals to narrow the definition of a “commercial item” (as defined in the FAR) or to require cost and pricing data on commercial items that could limit or adversely impact our ability to contract under commercial item terms. Changes in regulatory application to our business could be accelerated due to changes in our mix of business, in federal regulations, or in the interpretation of federal regulations, which may subject us to increased oversight by the Defense Contract Audit Agency (“DCAA”) for certain of our products or services. Such changes could also trigger contract coverage under the Cost Accounting Standards (“CAS”) applicable to certain U.S. government procurements, further impacting our commercial operating model and requiring compliance with a defined set of business systems criteria. Growth in the value of certain contracts may increase our compliance burden, requiring us to implement new business systems to comply with such requirements. Failure to comply with applicable CAS requirements could adversely impact our ability to win future CAS-covered contracts.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would be subject to the Defense Federal Acquisition Regulation Supplement (“DFARS”) and the Department of Defense (“DoD”) and federal cybersecurity requirements, in connection with any defense work we perform in the future for the U.S. government and defense prime contractors. Amendments to DoD cybersecurity requirements, such as through amendments to the FAR or DFARS, may increase our costs or delay the award of contracts if we are unable to certify that we satisfy such cybersecurity requirements.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U.S. government or a defense prime contractor customer could require us to relinquish data rights to a product in connection with performing work on a defense contract, which could lead to a surrender of valuable technology and intellectual property in order to participate in a government program.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may enter into cost reimbursable contracts with the U.S. government or a defense prime contractor customer that could offset our cost efficiency initiatives.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may be subject to various U.S. federal export-control statutes and regulations, which may affect our business with, among others, international defense customers. In certain cases, the export of our products and technical data to foreign persons, and the provision of technical services to foreign persons related to such products and technical data, may require licenses from the U.S. Department of Commerce or the U.S. Department of State. The time required to obtain these licenses, and the restrictions that may be contained in these licenses, may result in us being at a competitive disadvantage with international suppliers who are not subject to U.S. federal export control statutes and regulations. In addition, violations of these statutes and regulations can result in civil and, under certain circumstances, criminal liability as well as administrative penalties which could have a material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Sales to U.S. prime defense contractor customers as part of foreign military sales (“FMS”) programs combine several of the different types of risks and uncertainties highlighted above, including risks related to government contracts, risks related to defense contracts, timing and budgeting of foreign governments, and approval from the U.S. and foreign governments related to the programs, all of which may be impacted by macroeconomic and geopolitical factors outside of our control.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in the future derive a portion of our revenue from programs with governments and government agencies that are subject to security restrictions (</w:t>
      </w:r>
      <w:r>
        <w:rPr>
          <w:rFonts w:ascii="Times New Roman;sans-serif" w:hAnsi="Times New Roman;sans-serif"/>
          <w:b w:val="false"/>
          <w:i/>
          <w:color w:val="000000"/>
          <w:sz w:val="20"/>
        </w:rPr>
        <w:t>e.g.</w:t>
      </w:r>
      <w:r>
        <w:rPr>
          <w:rFonts w:ascii="Times New Roman;sans-serif" w:hAnsi="Times New Roman;sans-serif"/>
          <w:b w:val="false"/>
          <w:color w:val="000000"/>
          <w:sz w:val="20"/>
        </w:rPr>
        <w:t xml:space="preserve">, contracts involving classified information, classified contracts, and classified programs), which preclude the dissemination of information and technology that is classified for national security purposes under applicable law and regulations. In general, access to classified information, technology, facilities, or programs requires appropriate personnel security clearances, is subject to additional contract oversight and potential liability, and may also require appropriate facility clearances and other specialized infrastructure. Therefore, our access to classified information in connection with the performance of a U.S. government contract may be limited to certain of our employees with appropriate security clearances. When accessing sensitive information, we must comply with security requirements pursuant to the National Industrial Security Program Operating Manual (“NISPOM”), administered by the Defense Counterintelligence and Security Agency (“DCSA”), and other U.S. government security protocols. Failure to comply with the NISPOM or other security requirements may subject us to civil or criminal penalties, loss of access to sensitive information, loss of a U.S. government contract, or potentially debarment as a government contractor. Further, the DCSA has transitioned its review of a contractor’s security program to focus on the protection of controlled unclassified information and assets. Failure to meet DCSA’s new, broader requirements could adversely impact the ability to obtain new business as a government contractor.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may need to invest additional capital to build out higher level security infrastructure at certain of our facilities to be awarded contracts related to defense programs with higher level security requirements. Failure to invest in such infrastructure may limit our ability to obtain new contracts with defense programs.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be required to purchase certain products that are manufactured in the United States and other relatively high-cost manufacturing locations under the Buy American Act or other regulations, and we may not manufacture or source all products in locations that meet these requirements, which may preclude our ability to sell some products or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order to obtain D&amp;I contracts with agencies and departments of the U.S. government, we may also have to make changes to our management and corporate governance structure to comply with applicable regulations.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were to become a contractor to agencies and departments of the U.S. government, it would likely result in us being subject to routine investigations and reviews relating to compliance with various laws and regulations, including those associated with organizational conflicts of interest, procurement integrity, bid integrity and claim presentation, among others. These investigations and reviews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U.S. government agencies. In addition, we could suffer serious harm to our reputation and competitive position if allegations of impropriety were made against us, whether or not such allegations are unfounded. If our reputation or relationship were impaired due to these investigations, or if we could not obtain contracts with the U.S. government and the U.S. government otherwise ceased doing business with us or significantly decreased the amount of business it does with us, our revenues and ability to attract new business could be adversely affected.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spending authorizations for defense-related and other programs by the U.S. government have historically fluctuated, and future levels of expenditures and authorizations for these programs may decrease, remain constant or shift to programs in areas where we do not expect to provide services. Any contract we may enter into with the U.S. government and its agencies will generally be conditioned upon the continuing availability of Congressional appropriations. Congress usually appropriates funds on a fiscal year basis, even though contract performance may extend over many years. In recent years, there has been a pattern of delays in the finalization and approval of the U.S. government budget, which can create uncertainty over the extent of future U.S. government demand for our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Failure to comply with the requirements of the National Industrial Security Program could jeopardize our ability to provide our products and services to the U.S. government.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large part of our growth strategy includes seeking U.S. governmental agency customers, particularly in D&amp;I, though we have not acquired any U.S. governmental agency customers to date. Obtaining contracts with certain U.S. governmental agencies may require us to maintain national security clearance and mitigation elements under the National Industry Security Program. Obtaining and maintaining national security clearances involves a lengthy process. Going forward, we will require a facility clearance to meet the requirements of D&amp;I EO solicitations.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with governmental entities is subject to the policies, priorities, regulations, mandates, and funding levels of such governmental entities and may be negatively impacted by any change thereto.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contracts with governments, including a three-year $6 million Constellation-as-a-Service contract with the Republic of Albania, and governmental agencies to provide our products and services. This subjects our business to laws and regulations applicable to companies doing business with the applicable government. These government contracts customarily contain provisions that give the applicable government substantial rights and remedies, many of which are unfavorable to counterparty contractors and are not typically found in commercial contracts. For instance, most government agencies include provisions that allow the government to unilaterally terminate or modify contracts for convenience, and in such event, the counterparty to the contract may generally recover only our incurred or committed costs and settlement expenses and profit on work completed prior to the termination. Further, typically where the government terminates a contract for default, the defaulting party may be liable for any extra costs incurred by the government in procuring undelivered items from another source.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 contracts often also contain provisions and are subject to laws and regulations that provide government customers with additional rights and remedies not typically found in commercial contracts. These rights and remedies often allow government customers, among other things, to: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terminate existing contracts for convenience with short notice;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reduce orders under or otherwise unilaterally modify contracts;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for contracts subject to the Truthful Cost or Pricing Data Act, reduce the contract price or cost where it was increased because we or a subcontractor furnished cost or pricing data during negotiations that was not complete, accurate, and current;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for some contracts, (i) demand a refund, make a forward price adjustment, or terminate a contract for default if we provided inaccurate or incomplete data during the contract negotiation process and (ii) reduce the contract price under triggering circumstances, including the revision of price lists or other documents upon which the contract award was predicated;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cancel multi-year contracts and related orders if funds for contract performance for any subsequent year become unavailable;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claim rights in solutions, systems, or technology produced by us, appropriate such work-product for their continued use without continuing to contract for our services, and disclose such work-product to third parties, including other government agencies and our competitors, which could harm our competitive position;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prohibit future procurement awards with a particular agency due to a finding of organizational conflicts of interest based upon prior related work performed for the agency that would give us an unfair advantage over competing contractors, or the existence of conflicting roles that might bias our judgment;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suspend or debar us from doing business with the applicable government;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control or prohibit the export of our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government contracts normally contain additional requirements that may increase our costs of doing business, reduce our gross margins, and expose us to liability for failure to comply with these terms and conditions. These requirements include, for example: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retainage or contract insurance guarantee requirements under which we are obligated to provide a deposit equal to a percentage of the relevant contract value, which deposit is retained by the customer to cover any loss incurred due to our failure to perform and returned only upon satisfactory completion of the contract;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specialized disclosure and accounting requirements unique to government contracts;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public disclosures of certain contract and company information that may harm our competitive position or we would otherwise prefer not to disclose;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mandatory socioeconomic compliance requirements, including labor requirements, non-discrimination and affirmative action programs and environmental compliance requirements;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requirements to procure certain materials, components and parts from supply sources approved by the customer.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 contracts are also generally subject to greater scrutiny by the government, which can initiate reviews, audits and investigations regarding our compliance with government contract requirements. New regulations or procurement requirements (including, for example, regulations regarding counterfeit and corrupt parts, supply chain diligence and cybersecurity) or changes to current requirements could increase our costs and risk of non-compliance. In addition, if we fail to comply with government contracting laws, regulations and contract requirements, our contracts may be subject to termination, and we may be subject to financial and/or other liability under such contract and applicable law.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changes in governmental policies, priorities, regulations, requirements applicable to commercial data and imagery providers, mandates or funding levels, the imposition of budgetary constraints or a decline in government support or deferment of funding for programs in which we or our customers participate could result in contract terminations, delays in contract awards, reduction in contract scope, performance penalties or breaches of our contracts, the failure to exercise contract options, the cancellation of planned procurements and fewer new business opportunities, all of which could materially and adversely impact our business, financial condition, and results of operations.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is subject to a wide variety of additional extensive and evolving government laws and regulations. Failure to comply with such laws and regulations could have a material adverse effect on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 wide variety of laws and regulations relating to various aspects of our business, including with respect to our space transport operations, employment and labor, health care, tax, privacy and data security, health and safety, and environmental issues. Laws and regulations at the foreign, federal, state and local levels frequently change, especially in relation to new and emerging industries (such as the NewSpace sector), and we cannot reasonably predict the impact from, or the ultimate cost of compliance with, current or future regulatory or administrative changes. We monitor these developments and devote a significant amount of management’s time and internal and external resources towards compliance with these laws, regulations and guidelines, and such compliance places a significant burden on management’s time and other resources, and it may limit our ability to expand into certain jurisdictions.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and financial condition. Failure to comply with these laws or regulations or failure to satisfy any criteria or other requirement under such laws or regulations, such as with respect to obtaining and maintaining licenses, certificates, authorizations and permits critical for the operation of our business, may result in civil penalties or private lawsuits, or result in a delay in our obtaining or the denial, suspension or revocation of licenses, certificates, authorizations or permits necessary to operate our business.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and foreign governments may revise existing contract or procurement rules and regulations, or adopt new contract or procurement rules and regulations, at any time and may also implement restrictions or apply pressure regarding the type and amount of services the government or its contractors (including us) may obtain from private contractors. Such changes could impair our ability to obtain new contracts or renew contracts under which we currently perform when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contracts are eligible for re-competition. Any new contracting methods could be costly or administratively difficult for us to implement, which could adversely affect our business, results of operations and financial condition.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regulation of our industry is still evolving, and new or different laws or regulations could affect our operations, increase our direct compliance costs or cause our third-party suppliers or contractors to raise prices for us because of increased compliance costs. For example, the Federal Communications Commission has an open notice of proposed rulemaking relating to mitigation of orbital debris, which could affect us and our operations. The adoption of a multi-layered regulatory approach to any one of the laws or requirements to which we are or may become subject, particularly where the layers are in conflict, could require alteration of our manufacturing processes or operational parameters, which may adversely impact our business. Further, due to the evolving nature of these requirements, we may not be in compliance with all such requirements at all times and, even when we believe we are in compliance, a regulatory agency may determine that we are not.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changes in applicable laws or regulations could adversely affect our business and financial condition. Any material failure to comply with applicable laws or regulations could result in contract termination, price or fee reductions or suspension or debarment from contracting.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the orbital slot and spectrum access requirements of the International Telecommunication Union (“ITU”) and the regulatory and licensing requirements of each of the countries in which we provide services, operate facilities, or license terminals, and our business is sensitive to regulatory changes in those countries and elsewhere.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telecommunications industry is highly regulated, and we depend on access to orbital slots and spectrum resources to provide satellite services. The ITU and U.S. and other nations’ regulators allocate spectrum for satellite services, and may change these allocations, which could change or limit how our current satellites are able to be used. In addition, we are required to maintain regulatory approvals, and from time to time obtain new regulatory approvals, from various countries in connection with providing satellite capacity, ground network uplinks, downlinks and other value-added or managed services to our customers. Obtaining and maintaining these approvals can involve significant time and expense. If we cannot obtain, or are delayed in obtaining, the required regulatory approvals, we may not be able to provide these services to our customers, operate facilities and terminals, or expand into new products or services. In addition, the laws and regulations to which we are subject could change at any time, thus making it more difficult for us to obtain new regulatory approvals or causing our existing approvals to be revoked or adversely modified. Because regulatory schemes vary by country, we may also be subject to regulations of which we are not presently aware, and which could subject us to sanctions by a government that could materially and adversely affect our operations in that country. If we cannot comply with the laws and regulations that apply to us, we could lose our revenue from services provided to the countries and territories covered by these laws and regulations and be subject to criminal or civil sanctions.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Increasing regulatory and customer focus on data privacy issues and expanding laws may impact our business or expose us to increased liability.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collect and process customer data, which may include personal data. Due to the sensitivity of the information and data we expect to manage in the future, as well as the nature of our customer base, the security features of our information systems are critical. We have pursued and obtained our Data Privacy Framework certification to assure our compliance with the principles governing data transfers. A variety of U.S. federal, state and foreign laws and regulations govern the collection, use, retention, sharing and security of this information. Laws and regulations relating to privacy, data protection and consumer protection are evolving and subject to potentially differing interpretations. These requirements may not be harmonized, may be interpreted and applied in a manner that is inconsistent from one jurisdiction to another or may conflict with other rules or our practices. As a result, our practices may not have complied or may not comply in the future with all such laws, regulations, requirements and obligations.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new industry standards, laws and regulations will continue to be proposed regarding privacy, data protection and information security in many jurisdictions, including the European e-Privacy Regulation, which is currently in draft form. We cannot yet determine the impact such future laws, regulations and standards may have on our business. Complying with these evolving obligations is costly. For instance, expanding definitions and interpretations of what constitutes “personal data” (or the equivalent) within the United States, the European Economic Area (the “EEA”) and elsewhere may increase our compliance costs and legal liability.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additional privacy laws and regulations, many of which, such as the European Union’s General Data Protection Regulation (“GDPR”) and national laws supplementing the GDPR, as well as legislation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implementing the GDPR in the United Kingdom, are significantly more stringent than those currently in effect in the United States. The GDPR requires companies to meet stringent requirements regarding the handling of personal data of individuals located in the EEA and includes significant penalties for noncompliance, which for the most serious violations may result in monetary penalties of up to the higher of €20.0 million or 4% of a group’s worldwide revenues for the preceding financial year. The United Kingdom’s version of the GDPR, which it maintains along with its Data Protection Act (collectively, the “UK GDPR”), also provides for substantial penalties that, for the most serious violations, can be the greater of £17.5 million or 4% of a group’s worldwide revenues for the preceding financial year. The GDPR, the UK GDPR, and other similar regulations require companies to give specific types of notice and informed consent is required for certain actions, and the GDPR and the UK GDPR each impose additional conditions in order to satisfy such consent, such as bundled consents.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GDPR, the UK GDPR, and other state and global laws and regulations have increased our responsibility and potential liability in relation to personal data, and we have and will continue to put in place additional processes and programs to demonstrate compliance. The EU Commission completed a thorough assessment of the adequacy of the U.S. with regard to data privacy protections that may be applied to the information of EU data subjects. Subsequent to the review, the EU Commission reached an adequacy decision that the United States ensures an adequate level of protection for personal data transferred from the EU to companies participating in the EU-US Data Privacy Framework. Satellogic chose to document and submit for certification under the EU-US Data Privacy Framework and the UK extension to the Data Privacy Framework, both of which we obtained in October 2023.</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New privacy laws and regulations are under development at the U.S. federal and state level and in many international jurisdictions. Any actual or perceived failure to comply with the data privacy laws or regulations, or related contractual or other obligations, or any perceived privacy rights violation, could lead to investigations, claims, and proceedings by governmental entities and private parties, damages for contract breach, and other significant costs, penalties, and other liabilities, as well as harm to our reputation and market position.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store customer information and content and if our customers fail to comply with their contractual obligations or applicable laws, it could result in litigation or reputational harm to us. The GDPR, UK GDPR, and other laws, regulations, standards and self-regulatory codes may affect our ability to reach current and prospective customers, understand how our offerings and services are being used, respond to customer requests allowed under the laws, and implement our new business models effectively. These new laws and regulations would similarly affect our competitors and our customers. These requirements could impact demand for our offerings and services and result in more onerous contract obligations and impose other costs that have increased and are likely to further increase over time.</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anti-corruption and anti-bribery laws in various countries, including but not limited to the U.S. Foreign Corrupt Practices Act. We can be subject to criminal and civil liability and other serious consequences for violations of such laws, which can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applicable anti-corruption and anti-bribery laws in the countries in which we do or will conduct our business, including but not limited to the U.S. Foreign Corrupt Practices Act of 1977, as amended (“FCPA”), and other, similar laws. We can, in certain circumstances, be held liable for violations of such laws committed by our employees, agents, contractors and others acting on our behalf, even if we do not explicitly authorize or have actual knowledge of such activities. We can also, in certain circumstances, be held liable for prior violations of such laws committed by us. Any violations of these laws and regulations may result in substantial civil, criminal and administrative fines and penalties, remedial measures and legal expenses, and other collateral consequences, all of which could adversely affect our business, results of operations, financial condition, and reputation.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maintain anti-corruption policies and procedures designed to address the risk of bribery, corruption and related misconduct, certain of our activities and operations present risk from an anti-corruption perspective. We have an extensive geographic scope of operations (current and projected) and are active or pursuing business in countries that can present heightened anti-corruption compliance risks. Our target customer base also includes governments and government instrumentalities, and contracting with such entities can increase a company’s compliance risk exposure since, among other things, the representatives of such entities are typically considered to be “foreign officials” under the FCPA and may be similarly characterized under other relevant anti-corruption laws. In certain countries, we also work with third parties, such as business development agents, distributors, and resellers, including to interact with public officials on our behalf. As our operations and sales activities continue to expand, our policies and procedures will similarly have to expand to adequately address the risks presented by our activities, and we may fail to adequately expand our policies and procedures to address these increased risks, which could adversely affect our business, results of operations, financial condition and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Relating to Our Intellectual Property, Data Privacy and Information Security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unable to protect our intellectual property rights. Disclosure of trade secrets could cause harm to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protect our proprietary rights, we rely on a combination of patents, trademarks and trade secret laws, and confidentiality agreements and license agreements with consultants, vendors and customers. Our efforts to protect our intellectual property and proprietary rights may not be sufficient. Although we apply rigorous standards, documents and processes to protect our intellectual property, there is no absolute assurance that the steps taken to protect our technology will prevent misappropriation or infringement. Our ability to enforce and protect our intellectual property rights may be limited in certain jurisdictions, which could make it easier for competitors to capture market position in such countries by utilizing technologies that are similar to those developed or licensed by us. Competitors also may harm our sales by designing products that mirror the capabilities of our products or technology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attempt to protect our trade secrets and other proprietary information by entering into confidentiality, licensing and invention assignment agreements or other contracts with similar provisions with third parties and our employees and consultants. However, these agreements can be breached and, if they are, there may not be an adequate remedy available to us. In addition, others may independently discover, or reverse engineer our trade secrets and proprietary information, and, in such cases, we could not assert any intellectual property rights against such parties. Litigation may be necessary to enforce or protect our intellectual property rights or our trade secrets, or to determine the validity and scope of the proprietary rights of others. Litigating a claim that a party illegally or unlawfully obtained and uses our trade secrets without authorization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try to protect our intellectual property by filing patent applications related to our technology, inventions and improvements that are important to the development of our business. The steps we take to protect our intellectual property may be inadequate. We currently have 30 issued patents, two issued utility models and 49 patent applications pending in nine jurisdictions. Our pending patent applications may not result in patents being issued, which may have a material adverse effect on our ability to prevent others from commercially exploiting products similar to ours. We cannot be certain that we are the first inventor of the subject matter to which we have filed a particular patent application, or if we are the first party to file such a patent application. If another party has filed a patent application concerning the same subject matter as we have, we may not be entitled to the protection sought by the patent application. We also cannot be certain whether the claims included in a patent application will ultimately be allowed in the applicable issued patent. As a result, we cannot be certain that the patent applications that we file will be granted. Further, the scope of protection of issued patent claims is often difficult to determine.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Patents, if issued, may be challenged, invalidated or circumvented. If our patents are invalidated or found to be unenforceable, we will lose the ability to exclude others from making, using or selling the inventions claimed. Moreover, an issued patent does not guarantee us the right to use the patented technology or commercialize a product using that technology. Third parties may have blocking patents that could be used to prevent us from developing our product either on our anticipated timeline or at all. Thus, patents that we may own in the future may not allow us to exploit the rights conferred by our intellectual property protection. Even if issued, patents may not be issued with claims sufficiently broad to protect our technologies or may not provide us with a competitive advantage against competitors with similar technologies. Despite our precautions, it may be possible for unauthorized third parties to copy our technology and use information that we regard as proprietary to create technology that competes with ours. Further, the laws of certain countries may not adequately protect proprietary rights, and mechanisms for enforcement of intellectual property rights in such countries may be inadequate. Our competitors may also design around our issued patents, which may adversely affect our business, prospects, financial condition and operating results.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Secured Convertible Notes are secured by substantially all of our assets, including our intellectual property. Following an event of default on our obligations under the Secured Convertible Notes, the holder could foreclose on its security interests and liquidate or take possession of substantially all of our assets, including our intellectual property, which could materially adversely impact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technology may violate the proprietary rights of third parties and our intellectual property may be misappropriated or infringed upon by third parties, each of which could have a negative impact on our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any of our technology violates the intellectual property rights of any third party, including copyrights and patents, such third party may assert infringement claims against us. Certain software and other intellectual property used by us or in our satellites, systems and products make use of or incorporate licensed software components or other licensed technology. Any claims brought against us may result in limitations on our ability to use the intellectual property subject to these claims. We may be required to redesign our satellites, systems or products or to obtain licenses from third parties to continue offering our satellites, systems or products to avoid substantially re-engineering such satellites, systems or products.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rights may be invalidated, circumvented, challenged, infringed or required to be licensed to others. An infringement or misappropriation claim, whether or not unfounded, could harm any competitive advantage we currently derive or may derive from our proprietary rights.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Data breaches or incidents involving our technology or products could damage our business, reputation and brand and substantially harm our business and results of operations.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our data and network infrastructure were to fail, or if we were to suffer an interruption or degradation of services in our data center, third-party cloud, or other infrastructure environments, we could lose important manufacturing and technical data, which could harm our business. Our facilities, as well as the facilities of third parties that maintain or have access to our data or network infrastructure, are vulnerable to damage or interruption from earthquakes, hurricanes, floods, fires, cybersecurity attacks, terrorist attacks, power losses, telecommunications failures and similar events. In the event that our or any third-party provider’s systems or service abilities are hindered by any of the events discussed above, our ability to operate may be impaired and our business could be adversely affected. A decision to close facilities without adequate notice or other unanticipated problems could adversely impact our operations. Any of the aforementioned risks may be augmented if our or any third-party provider’s business continuity and disaster recovery plans prove to be inadequate. Our data center, third-party cloud, and managed service provider infrastructure also could be subject to break-ins, cyberattacks, sabotage, intentional acts of vandalism and other misconduct from a spectrum of actors ranging in sophistication from threats common to most industries to more advanced and persistent, highly organized adversaries. Any security breach, including personal data breaches, or incident, including cybersecurity incidents, that we experience could result in unauthorized access to, misuse of or unauthorized acquisition of our internal sensitive corporate data, such as financial data, intellectual property, or data related to contracts with commercial or government customers or partners. Such unauthorized access, misuse, acquisition, or modification of sensitive data may result in data loss, corruption or alteration, interruptions in our operations or damage to our computer hardware or systems or those of our customers. To date, we have not experienced a cybersecurity incident that has resulted in any material impact on our business strategy, results of operations, financial condition or on our ability to run our business. However, any such cybersecurity incident, including if we are unable to effectively resolve breaches in a timely manner, could result in damage to the market perception of the effectiveness of our security and privacy measures, result in negative publicity arising from these types of disruptions damage our reputation, and could have a material adverse effect on our business, operations and financial results. Furthermore, a security event that involves classified or other sensitive government information or certain controlled technical information, could subject us to civil or criminal penalties and could result in loss of government security clearances and other accreditations, loss of our government contracts, loss of access to classified information, loss of export privileges or debarment as a government contractor. The risk that these types of events could seriously harm our business is likely to increase as we expand the number of services we offer as well as increase the number of customers and the countries within which we do business.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implemented multiple layers of security measures designed to protect the confidentiality, integrity, availability and privacy of our data and the systems and devices that store and transmit such data. We utilize current security technologies, and our defenses are monitored and routinely tested internally. Despite these efforts, threats from malicious persons and groups, new vulnerabilities and new, advanced attacks against information systems create the risk of cybersecurity incidents. These incidents can include, but are not limited to, gaining unauthorized access to digital systems for purposes of misappropriating assets or sensitive information, corrupting data, or causing operational disruption. Because the techniques used to obtain unauthorized access, disable or degrade service, or sabotage systems change frequently and may not immediately produce signs of intrusion, we may be unable to anticipate these incidents or techniques, timely discover them, or implement adequate preventative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rise of work-from-home arrangements in recent years, there has been a spike in cybersecurity attacks. Increases in such work-from-home arrangements have led businesses to increase reliance on virtual environments and communications systems, which have been subject to increasing third-party vulnerabilities and security risks. Cyber attacks have become more sophisticated and much harder to detect and defend against. Our network and storage applications may be vulnerable to cyber attack, malicious intrusion, malfeasance, attacks by foreign governments and state-sponsored actors, loss of data privacy or other significant disruption and may be subject to unauthorized access by hackers, employees, consultants or other service providers. In addition, hardware, software or applications we develop or procure from third parties may contain defects in design or manufacture or other problems that could unexpectedly compromise information security. Unauthorized parties may also attempt to gain access to our systems or facilities through fraud, trickery or other forms of deceiving our employees, contractors and temporary staff. As cyber threats continue to evolve, we may be required to expend significant additional resources to continue to modify or enhance our protective measures or to investigate and remediate any cybersecurity vulnerabilities. We expect to continue to maintain cyber liability insurance policies covering certain security and privacy damages. However, we cannot be certain that our coverage will be adequate for liabilities actually incurred or that insurance will continue to be available to us on economically reasonable terms, or at all.</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as a result of the intensification of cybersecurity attacks during periods of geopolitical conflict, such as the ongoing conflict in Ukraine and associated activities in Ukraine and Russia, as well as the ongoing conflicts in the Gaza Strip and the Red Sea region, the volume and sophistication of attempted cybersecurity attacks has increased throughout the world. We believe those risks may be particularly heightened for us and other providers of geospatial intelligence. We believe these conflicts create a heightened risk of cyber attacks on our infrastructure, systems and operations. The risk of cyberattack on us may be higher than that on our competitors due to our commitment to providing satellite imagery only to those organizations that will use our imagery for peaceful purposes as stated in our Terms of Use and as we have publicly stated.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Recurrent or prolonged unavailability of our services due to attacks could cause users to cease using our services and materially adversely affect our business, prospects, financial condition, and results of operations. We use software which we have developed, which we seek to continually update and improve. Replacing such systems is often time-consuming and expensive and can also be intrusive to daily business operations. Further, we may not always be successful in executing these upgrades and improvements, which may occasionally result in a failure of our systems. We may experience periodic system interruptions from time to time. Any slowdown or failure of our underlying technology infrastructure could harm our business, reputation and ability to execute our business plan, which could materially adversely affect our results of operations. Our disaster recovery plan or those of our third-party providers may be inadequate.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technologies contain “open source” software, and any failure to comply with the terms of one or more of these open-source licenses could negatively affect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open-source software licensed from third parties on a limited basis. We primarily use this software in limited cases such as in connection with satellite testing. Some of these licenses contain requirements that we make available source code for modifications or derivative works we create based upon the open-source software, and that we license these modifications or derivative works under the terms of a particular open-source license or other license granting third-parties certain rights of further use. In addition to risks related to license requirements, use of open-source software can lead to greater risks than use of third-party commercial software, as open-source licensors generally do not provide updates, warranties, support, indemnities, assurances of title, or controls on origin of the software. Likewise, some open-source projects have known security and other vulnerabilities and architectural instabilities, or are otherwise subject to security attacks due to their wide availability, and are provided on an “as-is” basis. If we were found to have inappropriately used open-source software, we may be required to take certain remedial actions that may divert resources away from our development efforts, any of which could adversely affect our business, financial condition, results of operations, and growth prospects. In addition, if the open-source software we use is no longer maintained by the relevant developer or open-source community, then it may be more difficult to make the necessary revisions to our software, including modifications to address security vulnerabilities, which could impact our ability to mitigate cybersecurity risks or fulfill our contractual obligations to our customers. We may also face claims from others seeking to enforce the terms of an open-source license, including by demanding release under certain open-source licenses of the open-source software, derivative works or our proprietary source code that was developed using such software. Such claims, with or without merit, could result in litigation, could be time-consuming and expensive to settle or litigate, could divert our management’s attention and other resources, could require us to lease some of our proprietary code, or could require us to devote additional R&amp;D resources to modify our technologies, any of which could adversely affect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General Business Risks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rely on the significant and specialized expertise of our senior management, engineering, sales and operational staff and must retain and attract qualified and highly skilled personnel in order to grow our business successfully. If we are unable to build, expand, and deploy additional management, engineering, sales and operational staff in a timely manner, or if we are unable to hire, retain, train, and motivate such personnel, our growth and long-term success could be adversely impacted.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performance is substantially dependent on the continued services and performance of our senior management and our highly qualified team of engineers and data scientists, many of whom have numerous years of experience and specialized expertise in our business and industry. Competition for hiring these employees is intense, especially regarding engineers and data scientists with specialized skills required for our business, and we may be unable to hire and retain enough engineers and data scientists to implement our growth strategy. Maintaining a positive, diverse, and inclusive culture and work environment, offering attractive compensation, benefits and development opportunities, and effectively implementing processes and technology that enable our employees to work effectively are important to our ability to attract and retain employees. If we are not successful in hiring and retaining highly qualified engineers, data scientists and other skilled personnel, we may not be able to extend or maintain our engineering and data science expertise, and our future product development efforts could be adversely affected.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also depends on the successful execution of our strategy to increase sales to customers, identify and engage new customers, and penetrate the U.S. market and new non-U.S. markets, which will depend on, among other things, our ability to build and expand our sales organization and operations. Identifying, recruiting, training, and managing qualified sales personnel requires significant time, expense, and attention, including from our senior management and other key personnel, which could adversely impact our business, financial condition, and results of operations.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failure to implement adequate succession plans for key executives or the failure of key employees to successfully transition into new roles, for example, as a result of organizational changes and attrition, could have an adverse effect on our businesses and operating results. The unexpected or abrupt departure of one or more of our key personnel and the failure to effect smooth key personnel transitions may have an adverse effect on our businesses resulting from the loss of such personnel’s skills, knowledge of our businesses, and years of industry experience. If we cannot effectively manage leadership transitions and management changes in the future, our reputation and future business prospects could be adversely affected.</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become involved in litigation that may materially adversely affect us.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become involved in various legal proceedings relating to matters incidental to the ordinary course of our business, including intellectual property, commercial, employment, class action, whistleblower and other litigation and claims, and governmental and other regulatory investigations and proceedings. Such matters can be time-consuming, divert management’s attention and resources, cause us to incur significant expenses or liability 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give any assurance that the results of any of these actions will not have a material adverse effect on our business.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Continuing inflation and/or elevated interest rates for prolonged periods could have an adverse effect on our business,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Economic factors, such as continuing inflation and elevated interest rates for prolonged periods in Argentina and other jurisdictions in which we operate or source materials, could have a negative impact on our business. If our costs were to become subject to significant inflationary pressures, we may not be able to fully offset such higher costs through price increases. Our inability or failure to do so could have a material adverse effect on our business, financial condition, results of operations and cash flows.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Secured Convertible Notes bear interest at a variable rate. Any future indebtedness we may incur in the future may also bear interest at variable rates. Accordingly, if interest rates increase, so could our interest costs, which may have an adverse effect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 Related to being a Public Company</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incurred and will continue to incur significant expenses and administrative burdens as a public company, which could have an adverse effect on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a significant increase in insurance, legal, accounting, administrative and other costs and expenses as a public company that we did not incur as a private company. The Sarbanes-Oxley Act of 2002 (the “Sarbanes-Oxley Act”), including the requirements of Section 404 thereof, as well as rules and regulations subsequently implemented by the SEC, the securities exchanges, the Dodd-Frank Wall Street Reform and Consumer Protection Act of 2010 (the “Dodd-Frank Act”) and the rules and regulations promulgated and to be promulgated thereunder, and the Public Company Accounting Oversight Board (“PCAOB”), together impose additional reporting and other obligations on public companies. Compliance with public company requirements increases costs and make certain activities more time-consuming. A number of those requirements require us to carry out activities we have not done previously. For example, we have created an audit and finance committee, and adopted new internal controls and disclosure controls and procedures. In addition, we have incurred and will continue to incur additional expenses associated with SEC reporting requirements to which we are subject. Furthermore, if any issues in complying with those requirements are identified (for example, if the auditors identify a material weakness or significant deficiency in our internal controls over financial reporting), we could incur additional costs rectifying those issues, and the existence of those issues could adversely affect our reputation or investor perceptions of us. Being a public company could make it more difficult or costly for us to obtain certain types of insurance, including director and officer liability insurance, and we may be forced to accept reduced policy limits and coverage with increased self-retention risk or incur substantially higher costs to obtain the same or similar coverage. Being a public company could also make it more difficult and expensive for us to attract and retain qualified persons to serve on the Board, Board committees or as executive officers. Furthermore, if we are unable to satisfy our obligations as a public company, we could be subject to delisting of our Class A ordinary shares or our Public Warrants, fines, sanctions and other regulatory action and potentially civil litigation.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additional reporting and other obligations imposed by various rules and regulations applicable to public companies will increase our legal and financial compliance costs and the costs of related legal, accounting and administrative activities. These increased costs will require us to divert a significant amount of money and other resources that could otherwise be used to expand the business and achieve strategic objectives. Advocacy efforts by stockholders and third parties may also prompt additional changes in governance and reporting requirements, which could further increase costs.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historical financial results may not be indicative of what our actual financial position or results of operations would have been if we were a public company during all periods presented.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historical financial results included in this Report do not reflect the financial condition, results of operations or cash flows we would have achieved as a public company during all periods presented or those that we will achieve in the future. Our financial condition and future results of operations could be materially different from amounts reflected in our historical financial statements included elsewhere in this Report, so it may be difficult for investors to compare our future results to historical results or to evaluate our relative performance or trends in our business.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privately held company, we were not required to comply with many corporate governance and financial reporting practices and policies required of a publicly traded company. As a result of the Merger, we are a public company with significant operations, and as such (and particularly after we are no longer an “emerging growth company” or if we lose “foreign private issuer” status), we face increased legal, accounting, administrative and other costs and expenses as a public company that we did not incur as a private company. The Sarbanes-Oxley Act, including the requirements of Section 404 thereof, as well as rules and regulations implemented by the PCAOB, the SEC and the securities exchanges, impose additional reporting and other obligations on public companies. Compliance with public company requirements will increase costs and make certain activities more time-consuming. A number of those requirements require us to carry out activities we have not done previously. In addition, we have incurred and will continue to incur expenses associated with SEC reporting requirements. Further, if any issues in complying with those requirements are identified (for example, if the auditors identify a significant deficiency or additional material weaknesses in the internal control over financial reporting), we could incur additional costs to rectify those issues, and the existence of those issues could adversely affect our reputation or investor perceptions of us. In addition, we have purchased director and officer liability insurance, which has substantial additional premiums. Advocacy efforts by stockholders and third parties may also prompt additional changes in governance and reporting requirements, which could further increase associated costs. The additional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other obligations associated with being a public company will increase legal and financial compliance costs and the costs of related legal, accounting and administrative activities.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ability of management to operate the business successfully is largely dependent upon the efforts of certain of our key personnel. The loss of such key personnel could negatively impact our operations and financial results.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performance depends, in significant part, upon the continued service of our senior management team and other key employees. We cannot be certain that we can retain these employees. The loss of services of one or more of these or other key personnel could have a material adverse effect on our business, operating results, and financial condition if we are unable to secure replacement personnel, either internally or through our recruitment programs and initiatives to secure replacement personnel that have sufficient experience in our industry or in the management of businesses similar to ours. If we fail to develop, compensate, and retain a core group of senior management and other key employees and address issues of succession planning, it could hinder our ability to execute our business strategies.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Ordinary Shares and Warrants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dual class structure of our Ordinary Shares has the effect of concentrating voting control with certain of our stockholders and limiting our other stockholders’ ability to influence corporate matters and could discourage others from pursuing any change of control transactions that holders of Class A ordinary shares may view as beneficial.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Class B ordinary shares have a number of votes per share to equal the number of votes controlled by the Liberty Investor, while Class A ordinary shares have one (1) vote per share. Our founder and Chief Executive Officer, Emiliano Kargieman, owns 13,582,642 Class B ordinary shares (which are entitled to 1.472467906 votes per share), granting him 100% of the voting power of the Class B ordinary shares and 20.7% of the voting power of our Ordinary Shares as of March 15, 2024. This concentrated control may have the effect of delaying, preventing or deterring a change in control of Satellogic, could deprive our stockholders of an opportunity to receive a premium for their capital stock as part of a sale of Satellogic, and might ultimately affect the market price of our Class A ordinary shares. In addition, on March 8, 2023, pursuant to the Liberty Letter Agreement, and following the forfeiture of a certain number of Class B shares in connection with the Forfeiture Event under the Merger Agreement as described below, we approved an amendment to our Company Governing Documents (filed as Exhibit 1.1 hereto), pursuant to which the number of votes per Class B ordinary share was increased from 1.463844005 to 1.472467906 in order to make the aggregate number of votes attributable to holders of Class B ordinary shares equal to the aggregate number of votes attributable to the Liberty Shares. This amendment had the impact of reinforcing the voting power and control of Mr. Kargieman, and may result in the continuation of the aforementioned risks to stockholders.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predict whether the dual class structure of our Ordinary Shares will result in a lower or more volatile market price of our Class A ordinary shares or in adverse publicity or other adverse consequences. For example, certain index providers have announced restrictions on including companies with multiple class share structures in certain of their indexes. S&amp;P, Dow Jones and FTSE Russell have announced changes to their eligibility criteria for inclusion of shares of public companies on certain indices, including the S&amp;P 500, pursuant to which companies with multiple classes of Ordinary Shares are excluded. In addition, several stockholder advisory firms have announced their opposition to the use of multiple class structures. As a result, the dual class structure of our Ordinary Shares may cause stockholder advisory firms to publish negative commentary about our corporate governance practices or otherwise seek to cause us to change our capital structure. Any such exclusion from indices or any actions or publications by stockholder advisory firms critical of our corporate governance practices or capital structure could adversely affect the value and trading market of our Class A ordinary shares.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outstanding Secured Convertible Notes are convertible in Class A ordinary shares at a rate of 833.33, subject to certain customary anti-dilution provisions. As of April 12, 2024, the conversion of the Secured Convertible Notes would result in the holder holding approximately 21.64% of our outstanding Class A ordinary shares and 20.5% of the voting power of our Ordinary Shares. Along with the significant voting power held by Mr. Kargieman, this would result in a significant concentration in the voting power of our Ordinary Shares, meaning that other shareholders may have little influence in determining the outcome of corporate actions requiring shareholder approval, and which could have the effect of delaying, preventing or deterring a change in control of Satellogic, could deprive our shareholders of an opportunity to receive a premium for their capital stock as part of a sale of Satellogic, and might ultimately affect the market price of our Class A ordinary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do not expect to declare any dividends in the foreseeable future.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anticipate declaring any cash dividends to holders of Ordinary Shares in the foreseeable future. In addition, our ability to pay dividends is prohibited by the terms of our Secured Convertible Notes. Consequently, investors may need to rely on sales of their shares after price appreciation, which may never occur, as the only way to realize any future gains on their investment.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securities or industry analysts do not publish or cease publishing research or reports about us, our business, or our market, or if they adversely change their recommendations regarding our securities, the price and trading volume of our securities could decline.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securities may be influenced by the research and reports that industry or securities analysts may publish about us or our business, market, or competitors. Securities and industry analysts do not currently, and may never, publish research on us. If no securities or industry analysts commence coverage of us, our share price and trading volume would likely be negatively impacted. If any of the analysts who may cover us change their recommendation regarding our Ordinary Shares adversely, or provide more favorable relative recommendations about our competitors, the price of our Ordinary Shares would likely decline. If any analyst who may cover us were to cease such coverage or fail to regularly publish reports on us, we could lose visibility in the financial markets, which in turn could cause our share price or trading volume to decline.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Following a forfeiture event under the Merger Agreement, certain holders of our Class A ordinary shares may be issued additional Class A ordinary shares if the trading price of the Class A ordinary shares then meets certain earn-out thresholds. Such issuance would dilute existing holders.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Merger Agreement, certain of our stockholders forfeited for cancellation an aggregate of 310,127 Class A ordinary shares on May 12, 2022, and an equal number of Class A ordinary shares were issued to certain other of our stockholders (the “Forfeiture Event”). However, pursuant to the Merger Agreement, following the Forfeiture Event, if at any time during the five year period following the Closing Date, the closing price of the Class A ordinary shares is at or above $15.00 for ten (10) trading days (which need not be consecutive) over a twenty (20) trading day period, the stockholders who had forfeited shares in the Forfeiture Event will then receive a number of newly issued Class A ordinary shares equal to the number of shares that they had previously forfeited, or 310,127 Class A ordinary shares.</w: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There can be no assurance that our Class A ordinary shares or the Warrants will remain listed on Nasdaq, or that we will be able to comply with the continued listing standards of Nasdaq.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Nasdaq chooses to delist us for failure to meet their listing standards, we and our stockholders could face significant material adverse consequences, including: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limited availability of market quotations for our securities;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reduced liquidity for our securities;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determination that our Class A ordinary shares are a “penny stock”, which will require brokers trading in our Class A ordinary shares to adhere to more stringent rules and possibly result in a reduced level of trading activity in the secondary trading market for our securities;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limited amount or absence of news and analyst coverage;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decreased ability to issue additional securities or obtain additional financing in the future. </w:t>
      </w:r>
    </w:p>
    <w:p>
      <w:pPr>
        <w:pStyle w:val="TextBody"/>
        <w:bidi w:val="0"/>
        <w:spacing w:lineRule="auto" w:line="288" w:before="36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Failure to maintain effective internal controls over financial reporting could have a material adverse effect on our business, operating results and stock price.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standards required for a public company under Section 404(a) of the Sarbanes-Oxley Act are significantly more stringent than those previously required of us as a privately held company. Management may not be able to effectively and timely implement controls and procedures that adequately respond to the increased regulatory compliance and reporting requirements that are now applicable to us. If we are not able to implement the additional requirements of Section 404(a) of the Sarbanes-Oxley Act in a timely manner or fail to adequately comply with those requirements, we may not be able to assess whether our internal controls over financial reporting are effective, which may subject us to adverse regulatory consequences and could harm investor confidence and the market price of our Class A ordinary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independent registered public accounting firm is not required to report on the effectiveness of our internal control over financial reporting pursuant to Section 404(b) of the Sarbanes-Oxley Act until we file our first Form 20-F following the date on which we cease to qualify as an “emerging growth company,” which may be up to five full fiscal years following the date of the first sale of common equity securities pursuant to an effective registration statement. If such an evaluation were performed, control deficiencies could be identified by our management, and those control deficiencies could also represent one or more material weaknesses. In addition, we cannot predict the outcome of this determination and whether we will need to implement remedial actions in order to implement effective control over financial reporting. If in subsequent years we are unable to assert that our internal control over financial reporting is effective, or if our auditors express an opinion that our internal control over financial reporting is ineffective, we may fail to meet the future reporting obligations in a timely and reliable manner and our financial statements may contain material misstatements. Any such failure could also cause our investors to lose confidence in the accuracy and completeness of our financial reports, which could have a materially adverse effect on the price of our securities.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an “emerging growth company” and, as a result of the reduced disclosure and governance requirements applicable to emerging growth companies, our Class A ordinary shares may be less attractive to investors.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as defined in Section 2(a)(19) of the Securities Act, as modified by the Jumpstart Our Business Startups Act of 2012 (“JOBS Act”), and we are taking advantage of some of the exemptions from reporting requirements that are available to emerging growth companies, including not being required to comply with the auditor attestation requirements in the assessment of our internal control over financial reporting under Section 404(b) of the Sarbanes-Oxley Act.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take advantage of these reporting exemptions until we are no longer an emerging growth company. We will remain an emerging growth company until the earlier of (1) the last day of the fiscal year (a) following the fifth anniversary of the date of the first sale of common equity securities pursuant to an effective registration statement, (b) in which we have total annual gross revenue of at least $1.235 billion, or (c) in which we are deemed to be a large accelerated filer, which means the market value of our Class A ordinary shares that are held by non-affiliates exceeds $700 million as of the prior June 30th, or (2) the date on which we have issued more than $1.0 billion in non-convertible debt during the prior three-year period.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predict if investors will find our Class A ordinary shares less attractive because we do and will rely on the accommodations and exemptions available to emerging growth companies. If some investors find our Class A ordinary shares less attractive as a result, there may be a less active trading market for our Class A ordinary shares and our share price may be more volatile.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Relating to Investment in a BVI Company and Our Status as a Foreign Private Issuer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Because we are incorporated under the laws of the BVI, it may be more difficult for our shareholders to protect their rights than it would if they were stockholders of a corporation incorporated in another jurisdiction.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Subject to the effectiveness of the Domestication, as further described under </w:t>
      </w:r>
      <w:r>
        <w:rPr>
          <w:color w:val="000000"/>
        </w:rPr>
        <w:t>“</w:t>
      </w:r>
      <w:r>
        <w:rPr>
          <w:rFonts w:ascii="Times New Roman;sans-serif" w:hAnsi="Times New Roman;sans-serif"/>
          <w:b w:val="false"/>
          <w:i/>
          <w:color w:val="000000"/>
          <w:sz w:val="20"/>
        </w:rPr>
        <w:t>Risks Relating to the Change in Our Jurisdiction of Incorporation,”</w:t>
      </w:r>
      <w:r>
        <w:rPr>
          <w:color w:val="000000"/>
        </w:rPr>
        <w:t xml:space="preserve"> </w:t>
      </w:r>
      <w:r>
        <w:rPr>
          <w:rFonts w:ascii="Times New Roman;sans-serif" w:hAnsi="Times New Roman;sans-serif"/>
          <w:b w:val="false"/>
          <w:color w:val="000000"/>
          <w:sz w:val="20"/>
        </w:rPr>
        <w:t xml:space="preserve">we are currently a company incorporated under the laws of the BVI and the majority of our assets are located outside the United States. Furthermore, a number of our directors and a majority of our officers reside outside the United States and a substantial portion of their assets are located outside the United States. As a result, investors may not be able to effect service of process within the United States upon certain of our directors or officers or to enforce against them in U.S. courts judgments predicated upon the civil liability provisions of U.S. federal securities law. Likewise, it may also be difficult for an investor to enforce in U.S. courts judgments obtained against these persons in courts located in jurisdictions outside the United States.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affairs are to a large extent governed by our Memorandum and Articles of Association, the BVI Act, and the common law of the BVI. The rights of shareholders to take action against the directors, actions by minority shareholders and the fiduciary responsibilities of our directors to us under BVI law are to a large extent governed by the BVI Act and the common law of the BVI. The common law of the BVI is derived from English common law, and the decisions of the English courts are of persuasive authority but are not binding on a court in BVI. The rights of our shareholders and the fiduciary responsibilities of our directors under BVI law may not be as clearly established as they would be under statutes or judicial precedent in some jurisdictions in the United States. In particular, the BVI has a less developed body of securities laws as compared to the United States, and some states, such as Delaware, have more fully developed and judicially interpreted bodies of corporate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BVI law permits the Board to refuse to permit a shareholder to review, copy or inspect certain documents (including register of directors, register of members or minutes and resolutions of shareholders) if the Board believes it would be contrary to our interests to allow review, copy or inspection. This may make it more difficult for shareholders to obtain the information needed to establish any facts necessary for a shareholder motion or to solicit proxies from other shareholders in connection with a proxy contest. Furthermore, while statutory provisions do exist in the BVI law for derivative actions to be brought in certain circumstances, shareholders in BVI companies may not have standing to initiate a shareholder derivative action in a federal court of the United States. The circumstances in which any such action may be brought, and the procedures and defenses that may be available in respect to any such action, may result in the rights of shareholders of a BVI company being more limited than those of shareholders of a company organized in the United States. Accordingly, shareholders may have fewer alternatives available to them if they believe that corporate wrongdoing has occurred.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all of the above, our public shareholders may have more difficulty in protecting their interests in the face of actions taken by management, members of the Board or controlling stockholders than they would as public shareholders of a U.S. company.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Because we are incorporated under the laws of the BVI, it may be more difficult for our shareholders to enforce judgments against us than it would be if they were stockholders of a corporation incorporated in another jurisdiction.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Subject to the effectiveness of the Domestication, as further described under </w:t>
      </w:r>
      <w:r>
        <w:rPr>
          <w:color w:val="000000"/>
        </w:rPr>
        <w:t>“</w:t>
      </w:r>
      <w:r>
        <w:rPr>
          <w:rFonts w:ascii="Times New Roman;sans-serif" w:hAnsi="Times New Roman;sans-serif"/>
          <w:b w:val="false"/>
          <w:i/>
          <w:color w:val="000000"/>
          <w:sz w:val="20"/>
        </w:rPr>
        <w:t xml:space="preserve">Risks Relating to the Change in Our Jurisdiction of Incorporation,” </w:t>
      </w:r>
      <w:r>
        <w:rPr>
          <w:rFonts w:ascii="Times New Roman;sans-serif" w:hAnsi="Times New Roman;sans-serif"/>
          <w:b w:val="false"/>
          <w:color w:val="000000"/>
          <w:sz w:val="20"/>
        </w:rPr>
        <w:t xml:space="preserve">we are currently incorporated under the laws of the BVI. There is no statutory recognition in the BVI of judgments obtained in the United States, although any final and conclusive monetary judgment for a definite sum obtained against us in U.S. federal or state courts would be treated by the BVI courts as a cause of action in itself and may be sued upon as a debt at common law so that no retrial of the issues would be necessary provided that: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U.S. court issuing the judgment had jurisdiction in the matter and we either submitted to such jurisdiction or was resident or carrying on business within such jurisdiction and was duly served with process;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judgment given by the U.S. court was not in respect of penalties, taxes, fines or similar fiscal or revenue obligations;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obtaining judgment there was no fraud on the part of the person in whose favor judgment was given or on the part of the U.S. court;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recognition or enforcement of the judgment in the BVI would not be contrary to public policy;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proceedings pursuant to which the judgment was obtained were not contrary to natural justice.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BVI courts are also unlikely to: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recognize or enforce judgments against us of U.S. courts based on certain civil liability provisions of U.S. securities laws;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impose liabilities against us in original actions brought in the BVI, based on certain civil liability provisions of U.S. securities laws that are penal in nature.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grounds upon which a BVI court may not enforce the judgments of U.S. courts and some remedies available under the laws of U.S. jurisdictions, including some remedies available under U.S. federal securities laws, may not be permitted under the BVI courts as contrary to public policy in the BVI. Furthermore, no claim may be brought in the BVI by or against us or our directors and officers in the first instance for violation of U.S. federal securities laws because these laws have no extraterritorial application under BVI law and do not have force of law in the BVI. A BVI court, however, may impose civil liability, including the possibility of monetary damages, on us or our directors and officers if the facts alleged in a complaint constitute or give rise to a cause of action under BVI law.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rights of our shareholders are not as extensive as those rights of stockholders of U.S. corporations.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Subject to the effectiveness of the Domestication, as further described under </w:t>
      </w:r>
      <w:r>
        <w:rPr>
          <w:color w:val="000000"/>
        </w:rPr>
        <w:t>“</w:t>
      </w:r>
      <w:r>
        <w:rPr>
          <w:rFonts w:ascii="Times New Roman;sans-serif" w:hAnsi="Times New Roman;sans-serif"/>
          <w:b w:val="false"/>
          <w:i/>
          <w:color w:val="000000"/>
          <w:sz w:val="20"/>
        </w:rPr>
        <w:t>Risks Relating to the Change in Our Jurisdiction of Incorporation,”</w:t>
      </w:r>
      <w:r>
        <w:rPr>
          <w:color w:val="000000"/>
        </w:rPr>
        <w:t xml:space="preserve"> </w:t>
      </w:r>
      <w:r>
        <w:rPr>
          <w:rFonts w:ascii="Times New Roman;sans-serif" w:hAnsi="Times New Roman;sans-serif"/>
          <w:b w:val="false"/>
          <w:color w:val="000000"/>
          <w:sz w:val="20"/>
        </w:rPr>
        <w:t xml:space="preserve">we are currently incorporated under the laws of the BVI. The rights of our shareholders are governed by our Company Governing Documents as interpreted in accordance with the laws of the BVI. Where any provision of any contractual arrangement between a shareholder and us or any third party is inconsistent with the provisions of our Company Governing Documents, the shareholder may be unable to claim certain remedies, including specific performance, for our actual or alleged breach of such provision. In addition, principles of BVI corporate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relating to such matters as the validity of a company’s procedures, the fiduciary duties of management and the rights of a company’s shareholders may differ from those that would apply if we were incorporated in a jurisdiction within the United States. Under U.S. law, majority and controlling stockholders generally have certain “fiduciary” responsibilities to the minority stockholders. A U.S. stockholder action must be taken in good faith. Also, actions by controlling stockholders in a U.S. jurisdiction and executive compensation that is obviously unreasonable may be declared null and void. In addition, in the United States, directors generally owe a fiduciary duty to the corporation and its stockholders,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stockholders, that deprives the corporation or its stockholders of any profit or advantage or that allows the directors to take advantage of a corporate opportunity for their own benefit. Many U.S. jurisdictions have enacted various statutory provisions which permit the monetary liability of directors to be eliminated or limited. Under BVI law, liability of a director of a company to the company is primarily limited to the duties set out in the memorandum and articles of association, the BVI Act, and the common law of the BVI, as well as additional liability that can arise upon the insolvency of the company.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BVI law may not protect the interests of minority shareholders in BVI corporations to the extent that U.S. laws protect minority stockholders in U.S. corporations. Our shareholders may have difficulty in protecting their interests in the face of actions by the Board and may have more limited rights than they might have as shareholders of a company incorporated in many U.S. jurisdictions.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As a foreign private issuer, we are exempt from a number of U.S. securities laws and rules promulgated thereunder and are permitted to publicly disclose less information than U.S. public companies must. This may limit the information available to holders of our Class A ordinary shares. </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Subject to the effectiveness of the Domestication, as further described under “</w:t>
      </w:r>
      <w:r>
        <w:rPr>
          <w:rFonts w:ascii="Times New Roman;sans-serif" w:hAnsi="Times New Roman;sans-serif"/>
          <w:b w:val="false"/>
          <w:i/>
          <w:color w:val="000000"/>
          <w:sz w:val="20"/>
        </w:rPr>
        <w:t>Risks Relating to the Change in Our Jurisdiction of Incorporation,</w:t>
      </w:r>
      <w:r>
        <w:rPr>
          <w:color w:val="000000"/>
        </w:rPr>
        <w:t xml:space="preserve">” </w:t>
      </w:r>
      <w:r>
        <w:rPr>
          <w:rFonts w:ascii="Times New Roman;sans-serif" w:hAnsi="Times New Roman;sans-serif"/>
          <w:b w:val="false"/>
          <w:color w:val="000000"/>
          <w:sz w:val="20"/>
        </w:rPr>
        <w:t xml:space="preserve">we currently qualify as a “foreign private issuer,” as defined in the SEC’s rules and regulations.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For example, some of our key executives may sell a significant amount of Ordinary Shares and such sales will not be required to be disclosed as promptly as such sales would need to be disclosed by a public company organized within the United States. Accordingly, once such sales are eventually disclosed, the price of our Class A ordinary shares may significantly decline. Moreover, we are not required to file periodic reports and financial statements with the SEC as frequently or as promptly as U.S. public companies. We are also not subject to Regulation FD under the Exchange Act, which would prohibit us from selectively disclosing material nonpublic information to certain persons without concurrently making a widespread public disclosure of such information. Accordingly, there may be less publicly available information concerning us than there is for U.S. public companies.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foreign private issuer, we will file an annual report on Form 20-F within four months of the close of each fiscal year ended December 31 and furnish reports on Form 6-K relating to certain material events promptly after we publicly announce these events. However, because of the above exemptions for foreign private issuers, which we intend to rely on, our stockholders will not be afforded the same information generally available to investors holding shares in public companies that are not foreign private issuers. The determination of foreign private issuer status is made annually on the last business day of an issuer’s most recently completed second fiscal quarter, and, accordingly, the next determination will be made with respect to our foreign private issuer status on June 30, 2024.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effectiveness of the Domestication, we will lose our foreign private issuer status. Although we intend to follow certain practices that are consistent with U.S. regulatory provisions applicable to U.S. companies prior to the effectiveness of the Domestication, our loss of foreign private issuer status would make such provisions mandatory. The regulatory and compliance costs to us under U.S. securities laws may be significantly higher as a U.S. domestic issuer. If we are not a foreign private issuer, we will be required to file periodic reports and prospectuses with the SEC on U.S. domestic issuer forms, which are more detailed and extensive than the forms available to a foreign private issuer, and we would not be entitled to the exemptions discussed above. We also may be required to modify certain of our policies to comply with good governance practices associated with U.S. domestic issuers. Such conversion and modifications may involve additional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lose our ability to rely upon exemptions from certain corporate governance requirements of Nasdaq that are available to foreign private issuers. For example, Nasdaq’s corporate governance rules require listed companies to have, among other things, a majority of independent board members and independent director oversight of executive compensation, nomination of directors, and corporate governance matters. Nasdaq rules also require stockholder approval of certain share issuances, including approval of equity compensation plans. As a foreign private issuer, we are permitted to follow home country practice in lieu of the above requirements. For instance, pursuant to the home country rule exemptions set forth under Nasdaq Listing Rule 5615, we have elected to be exempt from the requirement under Nasdaq Listing Rule 5635 to obtain shareholder approval for the issuance of 20% or more of our outstanding Class A ordinary shares, including, for instance, the issuance of Class A ordinary shares issuable upon conversion of the Secured Convertible Notes. Nasdaq Listing Rule 5635 requires each issuer to obtain shareholder approval prior to certain dilutive events, including a transaction other than a public offering involving the sale of 20% or more of the issuer’s common shares outstanding prior to the transaction for less than the greater of book or market value of the shares. As a foreign private issuer, however, we may adopt the practices of our home country, the British Virgin Islands, which do not require shareholder approval for such issuances.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long as we rely on the foreign private issuer exemption from certain of Nasdaq’s corporate governance standards, a majority of the directors on the Board are not required to be independent directors, we are not required to have a compensation committee, we are not required to have a nominating and corporate governance committee composed entirely of independent directors and we are not required to obtain stockholder approval of equity incentive plans. So long as we take advantage of these foreign private issuer exemptions, our stockholders will not have the same protections afforded to stockholders of companies that are subject to all the Nasdaq corporate governance standards. If we lose our foreign private issuer status, including as a result of the effectiveness of the Domestication, and fail to comply with U.S. securities laws applicable to U.S. domestic issuers, we may have to delist from Nasdaq and could be subject to investigation by the SEC, Nasdaq and other regulators, among other materially adverse consequences.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U.S. Federal Income Taxation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a passive foreign investment company for U.S. federal income tax purposes for any taxable year, U.S. holders of our Class A ordinary shares or Warrants to acquire our Class A ordinary shares could be subject to adverse U.S. federal income tax consequences.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If we are or become a “passive foreign investment company,” or a PFIC, within the meaning of Section 1297 of the Code for any taxable year during which a U.S. holder (as defined under “</w:t>
      </w:r>
      <w:r>
        <w:rPr>
          <w:rFonts w:ascii="Times New Roman;sans-serif" w:hAnsi="Times New Roman;sans-serif"/>
          <w:b w:val="false"/>
          <w:i/>
          <w:color w:val="000000"/>
          <w:sz w:val="20"/>
        </w:rPr>
        <w:t>Item 10. Additional Information—E. Taxation—U.S. Federal Income Taxation</w:t>
      </w:r>
      <w:r>
        <w:rPr>
          <w:color w:val="000000"/>
        </w:rPr>
        <w:t>”</w:t>
      </w:r>
      <w:r>
        <w:rPr>
          <w:rFonts w:ascii="Times New Roman;sans-serif" w:hAnsi="Times New Roman;sans-serif"/>
          <w:b w:val="false"/>
          <w:color w:val="000000"/>
          <w:sz w:val="20"/>
        </w:rPr>
        <w:t xml:space="preserve">) holds our Class A ordinary shares or Warrants to acquire our Class A ordinary shares, certain adverse U.S. federal income tax consequences may apply to such U.S. holder. A non-U.S. corporation, such as us, will be classified as a PFIC for U.S. federal income tax purposes for any taxable year in which, after applying certain look-through rules, either (i) 75% or more of our gross income for such year consists of certain types of “passive” income or (ii) 50% or more of the value of our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PFIC status depends on the composition of a company’s income and assets and the fair market value of such assets from time to time, as well as on the application of complex statutory and regulatory rules that are subject to potentially varying or changing interpretations. </w:t>
      </w:r>
    </w:p>
    <w:p>
      <w:pPr>
        <w:pStyle w:val="TextBody"/>
        <w:bidi w:val="0"/>
        <w:spacing w:before="120" w:after="283"/>
        <w:ind w:left="0" w:right="0" w:firstLine="540"/>
        <w:jc w:val="both"/>
        <w:rPr/>
      </w:pPr>
      <w:r>
        <w:rPr/>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Except as provided below, (i) within 120 days after the end of each of our taxable years for which we reasonably believe that we may be a PFIC, we will determine our PFIC status and the PFIC status of each of our non-U.S. subsidiaries, if applicable, and make those statuses available to our stockholders</w:t>
      </w:r>
      <w:r>
        <w:rPr>
          <w:color w:val="000000"/>
        </w:rPr>
        <w:t xml:space="preserve"> </w:t>
      </w:r>
      <w:r>
        <w:rPr>
          <w:rFonts w:ascii="Times New Roman;sans-serif" w:hAnsi="Times New Roman;sans-serif"/>
          <w:b w:val="false"/>
          <w:color w:val="000000"/>
          <w:sz w:val="20"/>
        </w:rPr>
        <w:t xml:space="preserve">and (ii) if we determine that we were, or could reasonably be deemed to have been, a PFIC for any taxable year, we will use commercially reasonable efforts to provide, and cause our non-U.S. subsidiaries that are PFICs to provide, U.S. holders with tax information necessary to enable each U.S. holder to make a qualified electing fund, or QEF, election with respect to us and our non-U.S. subsidiaries, including a PFIC Annual Information Statement. Our obligation to determine our PFIC status and the PFIC status of each of our non-U.S. subsidiaries, and our obligation to provide tax information, will last until the later of (a) five years after the end of our taxable year ended December 31, 2021, or (b) such time as we have reasonably determined that we are not a PFIC for three (3) consecutive taxable years. After such period, we currently intend to continue to determine our PFIC status and the PFIC status of each of our non-U.S. subsidiaries, and to provide the necessary information described above (including a PFIC Annual Information Statement), but there can be no assurance that we will in fact make those determinations or provide the necessary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If we are treated as a PFIC in any taxable year in which a U.S. holder holds our Class A ordinary shares or Warrants to acquire our Class A ordinary shares, the U.S. holder may be subject to adverse U.S. federal income tax consequences, such as taxation at the highest marginal ordinary income tax rates on capital gains and on certain actual or deemed distributions, interest charges on certain taxes treated as deferred, and additional reporting requirements. See “</w:t>
      </w:r>
      <w:r>
        <w:rPr>
          <w:rFonts w:ascii="Times New Roman;sans-serif" w:hAnsi="Times New Roman;sans-serif"/>
          <w:b w:val="false"/>
          <w:i/>
          <w:color w:val="000000"/>
          <w:sz w:val="20"/>
        </w:rPr>
        <w:t>Item 10. Additional Information—E. Taxation—U.S. Federal Income Taxation—U.S. Holders—Passive Foreign Investment Company Rules</w:t>
      </w:r>
      <w:r>
        <w:rPr>
          <w:rFonts w:ascii="Times New Roman;sans-serif" w:hAnsi="Times New Roman;sans-serif"/>
          <w:b w:val="false"/>
          <w:color w:val="000000"/>
          <w:sz w:val="20"/>
        </w:rPr>
        <w:t xml:space="preserve">.” U.S. holders of our Class A ordinary shares and Warrants to acquire our Class A ordinary shares should consult with their tax advisors regarding the potential application of these rules. </w:t>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INFORMATION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A.    </w:t>
      </w:r>
      <w:r>
        <w:rPr>
          <w:rFonts w:ascii="Times New Roman;sans-serif" w:hAnsi="Times New Roman;sans-serif"/>
          <w:b/>
          <w:color w:val="000000"/>
          <w:sz w:val="20"/>
        </w:rPr>
        <w:t>History and Development of the Company</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We were incorporated under the laws of the BVI on June 29, 2021, solely for the purpose of effectuating the Merger, which was consummated on January 25, 2022. See “Merger Transaction” below for further details of the Merger. We own no material assets other than our interests in Nettar and do not operate any business other than through Nettar, our wholly owned subsidiary. Nettar is a BVI business company incorporated in the BVI as a company limited by share. See Item 5 “</w:t>
      </w:r>
      <w:r>
        <w:rPr>
          <w:rFonts w:ascii="Times New Roman;sans-serif" w:hAnsi="Times New Roman;sans-serif"/>
          <w:b w:val="false"/>
          <w:i/>
          <w:color w:val="000000"/>
          <w:sz w:val="20"/>
        </w:rPr>
        <w:t xml:space="preserve">Operating and Financial Review and Prospects” </w:t>
      </w:r>
      <w:r>
        <w:rPr>
          <w:rFonts w:ascii="Times New Roman;sans-serif" w:hAnsi="Times New Roman;sans-serif"/>
          <w:b w:val="false"/>
          <w:color w:val="000000"/>
          <w:sz w:val="20"/>
        </w:rPr>
        <w:t xml:space="preserve">for a discussion of Nettar’s principal capital expenditures for the years ended December 31, 2023 and 2022. Except for capital expenditures in the ordinary course of business, there are no other material capital expenditures or divestitures currently in progress as of the date of this Report.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Nettar is the holding company of the Satellogic Group (the “Group”) prior to the Merger and was incorporated on October 7, 2014, under the laws of the BVI as an International Business Company.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mailing address of our principal executive office is Ruta 8 Km 17,500, Edificio 300 Oficina 324 Zonamérica Montevideo, 91600, Uruguay and our telephone number is 00-598-25182302. Our registered office in the BVI is: c/o Maples Corporate Services (BVI) Limited, Kingston Chambers, PO Box 173, Road Town, Tortola, VG1110, British Virgin Islands. Our registered agent in the BVI is Maples Corporate Services (BVI) Limited. Our principal website address is www.satellogic.com. The information contained on, or accessible through, our website is not incorporated by reference into this Report, and you should not consider it a part of this Report.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historically consisted of two unique business lines: Asset Monitoring and Constellation-as-a-Service (“CaaS”). Our Asset Monitoring business involves both government and commercial customers tasking our satellites around the world with monitoring assets and keeping up with their changing reality. Our CaaS business offers governments around the world the ability to control satellites on top of specific areas of interest. In 2022, we established a new business line, Space Systems, which involves satellite sales and support, to meet the needs of customers interested in our technology and capability that also have a need or desire to own the satellites being utilized to collect data.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6, 2022, we entered into an Investment Agreement with Officina Stellare S.p.A. (“OS”), a company engaged in the design and production of telescopes and opto-mechanical and aerospace instrumentation for ground and space-based applications, to purchase 5% of OS’s outstanding common shares for $3.7 million. Additionally, OS issued 524,715 stock warrants, giving us the right to convert each warrant into a single common share over a period of up to 36 months. Emiliano Kargieman, our Chief Executive Officer, was appointed to the OS board of directors. The investment was completed on September 30, 2022. OS is also a supplier of telescopes to the Company.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we signed a Rideshare Multi-Launch Agreement with SpaceX, our preferred rideshare launch provider, and in April 2022, we secured launch capacity for our next 68 launches with SpaceX via the SpaceX Agreement. At December 31, 2023, we had 60 launch slots remaining and we continue to work with SpaceX to schedule upcoming satellite launches.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certain of the informational filing requirements of the Exchange Act. Since we are a “foreign private issuer,” our officers, directors and principal shareholders are exempt from the reporting and “short-swing” profit recovery provisions contained in Section 16 of the Exchange Act with respect to their purchase and sale of our Class A ordinary shares. In addition, we are not required to file reports and financial statements with the SEC as frequently or as promptly as U.S. public companies whose securities are registered under the Exchange Act. However, we are required to file with the SEC an Annual Report on Form 20-F containing financial statements audited by an independent registered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accounting firm. The SEC also maintains a website at http://www.sec.gov that contains reports and other information that we file with or furnish electronically to the SEC.</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Merger Transaction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25, 2022 (the “Closing Date”), Satellogic Inc. (“Satellogic”), a BVI business company incorporated in the BVI as a company limited by shares, consummated the transactions contemplated by the Agreement and Plan of Merger dated as of July 5, 2021 (the “Merger Agreement” ), by and among Satellogic, CF V, a Delaware corporation, now known as “Satellogic V Inc., Ganymede Merger Sub 1 Inc., a BVI business company incorporated in the BVI as a company limited by shares and a direct wholly owned subsidiary of Satellogic, Ganymede Merger Sub 2 Inc., a Delaware corporation and a direct wholly owned subsidiary of Satellogic.</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Merger resulted in cash proceeds of $168 million, after transaction expenses and debt repayment, through the contribution of cash held in CF V’s trust account, net of redemptions by CF V’s public stockholders, and a concurrent PIPE offering led by SoftBank’s SBLA Advisers Corp. and CF&amp;Co., among other institutional investors, together with the Liberty Investment. See Note 4 (Reverse Recapitalization) to the Consolidated Financial Statements for additional details.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26, 2022, Satellogic’s Class A ordinary shares began trading on Nasdaq under the ticker symbol “SATL” and our warrants began trading on Nasdaq under the ticker symbol “SATLW”. </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Domestication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change the jurisdiction of incorporation from the BVI to Delaware, which change is referred to as the “Domestication”. We have recently begun taking steps to effect the Domestication, such as filing a registration statement on Form S-4, for the purpose of registering our outstanding Class A ordinary shares, Class B ordinary shares, and warrants to purchase our Class A ordinary shares, which upon the effectiveness the Domestication, will automatically convert on a one-for-one basis into Class A common stock, Class B common stock, and warrants to purchase Class A common stock, which will comprise our authorized capital as a Delaware entity. There can be no assurance that the Domestication will be successful, but if it is, our organizational documents will change and will be governed by Delaware law rather than BVI law.</w:t>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left"/>
        <w:rPr/>
      </w:pPr>
      <w:r>
        <w:rPr>
          <w:rFonts w:ascii="Times New Roman;sans-serif" w:hAnsi="Times New Roman;sans-serif"/>
          <w:b w:val="false"/>
          <w:color w:val="000000"/>
          <w:sz w:val="20"/>
        </w:rPr>
        <w:t>B.    </w:t>
      </w:r>
      <w:r>
        <w:rPr>
          <w:rFonts w:ascii="Times New Roman;sans-serif" w:hAnsi="Times New Roman;sans-serif"/>
          <w:b/>
          <w:color w:val="000000"/>
          <w:sz w:val="20"/>
        </w:rPr>
        <w:t>Business Overview</w:t>
      </w:r>
    </w:p>
    <w:p>
      <w:pPr>
        <w:pStyle w:val="TextBody"/>
        <w:bidi w:val="0"/>
        <w:spacing w:lineRule="auto" w:line="276" w:before="120" w:after="283"/>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were founded in 2010 to help solve some of the greatest challenges of our time: resource utilization and distribution. From tradeoffs between food, energy and water supplies, to monitoring the impact of natural disasters, global health and humanitarian crises in the midst of a looming climate emergency, access to a continually refreshed source of global, high-quality data is critical to confronting some of the world’s most crucial issues. We are committed to creating a fully automated and searchable EO catalog, and we believe we are uniquely positioned to provide the data that is critical to better inform decision-making aimed at addressing these challenges.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the first vertically integrated geospatial company, and we are building the first scalable, fully automated EO platform with the ability, when scaled, to remap the entire planet at both high-frequency and high-resolution, providing accessible and affordable solutions for our customers. We plan to democratize access to geospatial data by providing planetary insights at what we believe to be the lowest cost in the industry, ultimately driving better decision-making across a broad range of industries including agriculture, forestry, energy, financial services, and cartography.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created a highly scalable, vertically integrated and competitive operating model. We design the core components that go into developing and manufacturing our satellites to be mission specific. We manufacture many of our components, but we also partner with third parties to manufacture certain other components to our design specifications. We assemble, integrate and test the components and satellites in our facilities. This vertical integration provides a significant cost advantage, enabling us to produce and launch satellites for less than one-tenth the cost of our competitors on average. Additionally, we own all our key intellectual property, and our patented technology allows us to capture approximately 10x more imagery than our competitors on average. Taken together, we are achieving over 60x better unit economics than our closest peers in the NewSpace sector and more than 100x better unit economics than legacy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competitors. Additionally, we are well-positioned to compete effectively in the existing EO market that is currently supply-constrained and consists primarily of government and D&amp;I customers. At December 31, 2023, we had 24 commercial satellites in orbit. As of the date of this Report, we have 25 satellites in orbit, of which 22 are operational, two are in the commissioning stage and one is being used for testing. Over the near term, we will take a measured approach to expanding our constellation, with our long term vision to reach a constellation size of approximately 200 satellites and to have the capability to conduct daily remaps of the entire planet.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is focused along three distinct business lines: Asset Monitoring, CaaS, and Space Systems. These business lines will allow us to serve the existing EO market and begin to democratize access to a host of new EO customers.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we strategically realigned our business in an effort to capture high value opportunities in the U.S. market, focusing resources on what we believe to be our highest growth opportunities, while sustaining core customers and operating a lean organization. As part of this strategic realignment, we intend to change our jurisdiction of incorporation from the BVI to Delaware, and we refer to this change as the “Domestication.” To effect the Domestication we will, upon final approval of our Board, file a notice of continuation out of the BVI with the British Virgin Islands Registrar of Corporate Affairs and file a certificate of incorporation and a certificate of corporate domestication with the Secretary of State of the State of Delaware. The Domestication will not require shareholder approval under BVI law. We anticipate that the Domestication will become effective in calendar year 2024. For additional information regarding the Domestication, refer to our Registration Statement on Form F-4 (Registration No, 333-275875), filed with the SEC on December 4, 2023.</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expect that our Asset Monitoring business will represent the most predictable revenue stream, and we anticipate that it will be among the primary drivers of the business going forward. Every day, both government and commercial customers task our satellites around the world to monitor assets and keep up with their changing reality. D&amp;I customers look at ports, airfields or build-up of military equipment; mining companies monitor the environmental impact of their operations; and insurance companies are interested in building baselines and quickly assessing property damage as it occurs. With the largest available sub-meter capacity, high quality imagery and superior unit economics, we can support a growing number of customers around the world.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CaaS business offers governments around the world the ability to control satellites above specific areas of interest. We anticipate that our CaaS line of business will, over time, provide us with a strong recurring-revenue base in the government and D&amp;I market.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2022, we established Space Systems, effectively satellite sales and support, to meet the needs of customers interested in our technology and capability that have a need or desire to own the satellites being utilized to capture imagery. As such, Space Systems leverages our ability to quickly build and launch high quality, sub-meter satellites at a low cost to meet the needs of our customers. We have built a vertically integrated satellite manufacturing capability that is critical in achieving our low-CAPEX cost and ultimately reaching our unit-economic targets for our Asset Monitoring business. Vertical integration enables us to manage our supply chain and navigate evolving global supply issues and challenges with minimal adverse impact to our satellite manufacturing schedule. Our fast satellite build-to-launch cycles can progress from purchase order to commissioning in orbit in as little as eight months.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(in thousands) about our revenue by geography is as follows:</w:t>
      </w:r>
    </w:p>
    <w:tbl>
      <w:tblPr>
        <w:tblW w:w="4283" w:type="dxa"/>
        <w:jc w:val="left"/>
        <w:tblInd w:w="0" w:type="dxa"/>
        <w:tblLayout w:type="fixed"/>
        <w:tblCellMar>
          <w:top w:w="28" w:type="dxa"/>
          <w:left w:w="28" w:type="dxa"/>
          <w:bottom w:w="28" w:type="dxa"/>
          <w:right w:w="28" w:type="dxa"/>
        </w:tblCellMar>
      </w:tblPr>
      <w:tblGrid>
        <w:gridCol w:w="749"/>
        <w:gridCol w:w="658"/>
        <w:gridCol w:w="662"/>
        <w:gridCol w:w="196"/>
        <w:gridCol w:w="661"/>
        <w:gridCol w:w="109"/>
        <w:gridCol w:w="109"/>
        <w:gridCol w:w="109"/>
        <w:gridCol w:w="109"/>
        <w:gridCol w:w="196"/>
        <w:gridCol w:w="571"/>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8"/>
              </w:rPr>
              <w:t xml:space="preserve">Revenue by geography </w:t>
            </w:r>
            <w:r>
              <w:rPr>
                <w:rFonts w:ascii="Times New Roman;sans-serif" w:hAnsi="Times New Roman;sans-serif"/>
                <w:b/>
                <w:color w:val="000000"/>
                <w:sz w:val="12"/>
              </w:rPr>
              <w:t>(1)</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America</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America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10,074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6,012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Revenue by geography is based on the geographical location of the customer.</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July 30, 2023, we filed an application to license our constellation with NOAA, and on November 21, 2023, we announced that we had been granted a remote sensing license by NOAA. The license results in us now being subject to NOAA’s oversight as we pivot operational control of our satellite constellation to our U.S. personnel and expand our ground station network to include U.S. based ground stations. The license was granted following a NOAA and inter-agency review of our constellation assessing national security, foreign policy, and U.S. international risks and obligations.</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mentioned above, in August 2023, we strategically realigned our business in an effort to capture high-value opportunities in the U.S. market, focusing resources on what we believe to be our highest growth opportunities, while sustaining core customers and operating a lean organization. To support this strategy, we appointed Matt Tirman, who previously served as our Chief Commercial Officer, to President. In his new role, Mr. Tirman will be primarily responsible for the execution of our realigned strategy and business plan as we pursue opportunities in the U.S. market. He will be assisted by our other recent appointments, Caitlin Kontgis, Senior Vice President of Commercial Growth, and Lorri Kohler, Senior Vice President of Operations.</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2023, we began collaboration with Tata Advanced Systems Limited (“TASL”), India’s leading provider of defense and intelligence technology and services, for establishing and developing local space technology capabilities in India. We commenced the project with a $5.0 million contract to provide comprehensive training, knowledge transfer, and local assembly of optical sub-meter resolution EO satellites, and the first of which is anticipated to be launched in 2024. The focus will be on manufacturing satellites and developing imagery in India for national defense and commercial applications, toward which TASL is commissioning a satellite AIT plant at its Vemagal facility in Karnataka.</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Secured Convertible Notes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12, 2024, the Company, Borrower, and Holder Representative entered into the Note Purchase Agreement with the Purchaser, pursuant to which the Borrower agreed to issue the Secured Convertible Notes in the aggregate principal amount of $30 million to the Purchaser. The net proceeds from the issuance of the Secured Convertible Notes, after deducting transaction fees and other debt issuance costs, was approximately $27.6 million. The Secured Convertible Notes initially bear interest at a rate of SOFR plus 6.50% per annum, subject to an additional 4.0% per annum if certain events of default occur and are continuing. The Secured Convertible Notes are guaranteed by the Company and each of the Company’s material subsidiaries (other than the Borrower), and are secured by substantially all of the Company’s and its subsidiaries’ assets (including all of its intellectual property). The Borrower may issue additional Secured Convertible Notes under the terms thereof, provided the aggregate principal outstanding amount does not exceed $50 million. The Secured Convertible Notes mature on April 12, 2028.</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Secured Convertible Notes are convertible into shares of the Company’s Class A ordinary shares at an initial conversion price of $1.20 or 833 Class A ordinary shares per $1,000 principal amount of Secured Convertible Notes), subject to customary anti-dilution adjustments. The Company’s ability to settle conversions using the Company’s Class A ordinary shares is subject to CFIUS Approval (as defined in the Secured Convertible Notes).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 asset sale by the Company (outside the ordinary course of business) or an insurance or condemnation event that results in net proceeds to the Company in excess of $2 million, the Borrower will be required to offer to prepay the Secured Convertible Notes up to the amount of such proceeds at par (unless such proceeds are used to purchase comparable assets within six months). In the event the Secured Convertible Notes are accelerated as a result of an event of default, the Borrower must pay a pre-payment penalty equal to 5% of the greater of (i) the outstanding principal amount and (ii) the then-prevailing conversion value. In connection with a change of control of the Company (including delisting of the Company’s Class A ordinary shares), the holder has the right to require the Company to repurchase the Secured Convertible Notes for cash at a price equal to the greater of (i) 105% of the redemption value of the Secured Convertible Notes or (ii) 105% of the then-prevailing conversion value, plus accrued but unpaid interest thereon, as well as any other amounts owed (the “Put Price”). The Borrower also has the right to repurchase or force-convert the Secured Convertible Notes in connection with a full acquisition of the Company at the Put Price.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Secured Convertible Notes contain certain restrictive covenants, including restrictions on (i) incurring indebtedness, subject to certain exceptions, (including the ability to issue additional Secured Convertible Notes; provided the aggregate principal outstanding amount does not exceed $50 million), (ii) creating certain liens, subject to certain exceptions, (iii) the payment of dividends or other restricted payments, (iv) the sale, transfer or otherwise conveyance of certain assets, subject to asset sale pre-payment described above, and (v) affiliate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the Company also entered into (i) a side letter with the Purchaser (the “Side Letter”), pursuant to which the Purchaser will be entitled to pre-emptive rights, in order to maintain its as-converted ownership percentage on the same basis as new capital raised and (ii) a registration rights agreement with the Purchaser (the “Registration Rights Agreement”), pursuant to which the Company agreed to register for resale the Class A Ordinary Shares issuable upon conversion of the Secured Convertible Notes.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Market Overview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Existing terrestrial methods and high-resolution satellites utilized for obtaining EO imagery have several critical shortcomings and have had limited commercial applicability to date. The manner in which actionable data is collected is extremely inefficient. Whether by helicopters, drones, planes, Internet of Things (“IoT”) sensor networks, or what we most commonly do, the boots-on-the-ground data collection today is extremely inefficient and very costly and not scalable.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Satellites in sun-synchronous LEO are, in fact, particularly well-positioned to collect data over the surface of the earth. A satellite will orbit the planet every ninety minutes, and the earth is spinning under it, so a single satellite will eventually remap the entire surface of the earth—adding a constellation of these satellites increases the frequency of remaps.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existing high-resolution EO satellites, our legacy competitors, are not well-suited to do this because the technology they are utilizing is simply too expensive and the economic use case, we believe, is not viable for broad, commercial application. Our legacy competitors must task their satellites for specific customer demands and price the imagery relative to the cost of the underlying satellite, which is quite expensive. Thus the existing EO market is relatively small and generally limited to governments and D&amp;I customers that can afford to pay the price charged by our competitors.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the “NewSpace” sector, which refers to the increased commercialization and privatization of the space sector. There are a few NewSpace companies trying to build satellites for imaging at a low cost, but they essentially fall into two categories: they either do not have sufficient resolution or they are forced to effectively trade resolution for capacity. In either case, they are limited in terms of image capture and thereby unable to remap the entire surface of the earth at high resolution with unit economics that are competitive with our own. We believe we have addressed these problems through technology innovation and vertical integration.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 the long term, we plan to leverage our superior unit economics and put enough satellites in orbit to remap the entire surface of the earth in high-resolution on a daily basis and, in doing so, we expect to completely reshape the business model for high resolution EO as well as a number of adjacent or alternative technologies being utilized today that are considerably less efficient (e.g., drones, helicopters, planes). By remapping the entire world every day, we will be able to deliver our data to customers at near zero marginal cost. This will effectively allow us to price our data based upon the value we create in each customer’s value chain as opposed to the current model whereby the pricing is inextricably linked to the high cost of the satellite. This is what we believe will allow us to expand the market for high resolution EO and tap into an estimated $140 billion market opportunity.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Beyond the EO market opportunity we continue to focus on addressing the growing market of satellite manufacturing and sales. This global market opportunity spans across both government and commercial organizations. Within the government segment, the opportunity covers both civil and unclassified defense programs. Research suggests there are approximately 80 countries and approximately 80 commercial organizations with investments into EO related programs. A leading research firm assessed the market value of global satellite manufacturing and sales to be approximately $76 billion between 2021 - 2030.</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Competitive Advantage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are well-positioned to compete with legacy satellite providers and NewSpace geospatial data providers. Our competitive advantages revolve around unit economics, design and technology, vertically integrated structure, efficient build-to-launch cycle, and high frequency remaps. Key elements of our competitive advantages include the following: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Superior Unit Economics. </w:t>
      </w:r>
      <w:r>
        <w:rPr>
          <w:rFonts w:ascii="Times New Roman;sans-serif" w:hAnsi="Times New Roman;sans-serif"/>
          <w:b w:val="false"/>
          <w:color w:val="000000"/>
          <w:sz w:val="20"/>
        </w:rPr>
        <w:t xml:space="preserve">With estimated 60 to 120 times better unit economics than our competitors, we plan to put enough satellites in orbit to collect data over the entire surface of the planet continuously, first with weekly and eventually daily remaps, and deliver this data to customers at near zero marginal costs. By delivering data to customers at near zero marginal cost, we expect to be able to price our services based on the value that we create for our customers within their value chain and not on the cost of data acquisition (e.g.,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satellite cost, launch). This is a critical element of our business model and what we believe to be a paradigm shift in high resolution EO imagery that is made possible by our superior unit economics.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Superior design and technology. </w:t>
      </w:r>
      <w:r>
        <w:rPr>
          <w:rFonts w:ascii="Times New Roman;sans-serif" w:hAnsi="Times New Roman;sans-serif"/>
          <w:b w:val="false"/>
          <w:color w:val="000000"/>
          <w:sz w:val="20"/>
        </w:rPr>
        <w:t xml:space="preserve">The principal challenge associated with collecting well-exposed, high-resolution imagery from orbit is that the satellite is moving at approximately 27,000 kilometers per hour (or seven kilometers per second). Legacy satellite operators have solved this problem by using a telescope with a very large aperture that allows them to collect well-exposed images that have no blur. These satellites are extremely expensive to build and launch. Conversely, our NewSpace competitors attempt to solve this problem with a small platform relying on a series of methods that will ultimately drive a trade-off between the resolution achieved and the capture capability. Our solution to this challenge is centered around our patented and unique camera design that utilizes adaptive optics allowing us to collect approximately 10 times more data from orbit than any of our competitors using a smaller aperture. Additionally, our camera design has afforded us the ability to create a compact satellite design resulting in three times lower mass and lower launch costs when compared to one of our NewSpace competitors.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Vertically integrated. </w:t>
      </w:r>
      <w:r>
        <w:rPr>
          <w:rFonts w:ascii="Times New Roman;sans-serif" w:hAnsi="Times New Roman;sans-serif"/>
          <w:b w:val="false"/>
          <w:color w:val="000000"/>
          <w:sz w:val="20"/>
        </w:rPr>
        <w:t xml:space="preserve">We are a vertically integrated company, and we design our satellites and all of their subsystems, including onboard computers, propulsion system, telescopes, cameras, radios, sensors and actuators. We manufacture many of our components, but we also partner with third parties to manufacture certain other components to our design specifications. We then assemble, integrate and test the components and satellites in our facilities. By designing every core component with our specific mission in mind (as compared to sourcing non-mission specific components built for a wide range of applications as our competitors do), we lower the cost of our materials by a factor of 10x. Our cost to deploy a high-resolution imaging satellite in orbit today, including launch costs, is approximately $1 million compared to our NewSpace competitors’ average cost of approximately $10 million with an average of 10x less capacity.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Efficient build-to-launch cycle. </w:t>
      </w:r>
      <w:r>
        <w:rPr>
          <w:rFonts w:ascii="Times New Roman;sans-serif" w:hAnsi="Times New Roman;sans-serif"/>
          <w:b w:val="false"/>
          <w:color w:val="000000"/>
          <w:sz w:val="20"/>
        </w:rPr>
        <w:t xml:space="preserve">Our fast build-to-launch cycles allow us to go from a signed contract to a satellite delivered in orbit in less than eight months, a first in this industry. The fast turn-around and the appealing technical characteristics of our satellites paired with their low cost create a valuable alternative for customers looking to increase their in-orbit capacity quickly, or for customers looking to build an inventory of assets to lower response times in the face of emergency.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High frequency remaps. </w:t>
      </w:r>
      <w:r>
        <w:rPr>
          <w:rFonts w:ascii="Times New Roman;sans-serif" w:hAnsi="Times New Roman;sans-serif"/>
          <w:b w:val="false"/>
          <w:color w:val="000000"/>
          <w:sz w:val="20"/>
        </w:rPr>
        <w:t xml:space="preserve">When we reach weekly remaps, we expect to provide approximately 80% of the global supply of high-resolution imagery in the market at near zero marginal cost, effectively consolidating supply, which will allow us to also consolidate demand on our platform. We believe this will create a significant disincentive for any competitor to build infrastructure to do the same. In addition, we believe that the archive of everything that is happening on the planet on a daily basis, in high resolution, will allow us, our partners and customers to train better artificial intelligence (“AI”) algorithms. By doing so, we expect to serve customers on a larger scale which will allow for the improvement of these algorithms at a faster pace, thereby creating a network effect on the accumulation of archived data that we plan to build in our catalog.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these characteristics—the near zero marginal cost for data distribution, the consolidation of demand on the network and the network effects on the accumulation of data in our catalog—will uniquely position us to capitalize on the significant total addressable market (“TAM”) opportunities.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Growth Strategies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democratize access to geospatial data by providing planetary insights at what we believe to be the lowest cost in the industry, which we expect will ultimately drive better decision-making across a broad range of industries. Our growth strategy is driven by the following objectives: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Leverage expertise in low-cost manufacturing of EO satellites for sale into high-growth government markets across Asia, Africa, Middle East and South America.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Expand the high resolution EO market and democratize access to data for the commercial market.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Continue investment in R&amp;D to innovate product offerings and satellite re-design.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Leverage our modular satellite design, multiple-payload systems, scaled manufacturing and satellite operations to deliver novel data streams and services from orbit.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Execute strategic acquisitions and partnerships related to new, complimentary or adjacent technologies as well as continued vertical integration within our existing supply chain.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products and service offerings, we intend to derive substantially all of our near-term revenues by providing EO services, satellite sales and related services to governments. In the longer-term, we intend to expand our operations to serve commercial customers in a variety of markets and industries. For additional detail, see Item 4.A “Commercial Platforms”.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Existing high-resolution EO market (Government and D&amp;I)</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receipt of government and D&amp;I contracts is part of our growth strategy. The existing high-resolution EO market is predominantly composed of government and D&amp;I customers. We can serve these customers today with our fleet of 25 satellites currently in orbit, of which 22 satellites are currently operational, two of which are in the commissioning stage and one is being used for testing. The existing high-resolution EO market is supply-limited as a consequence of global capacity constraints and increasing demand. As a result, we have been successful in building a strong pipeline for the existing EO market. Our pipeline consists of contracts which are in negotiations or early discussions, and we can offer no assurances that such negotiations or discussions will result in a signed contract or any revenue. Many of these customers tend to buy through large, multi-year contracts and typically through a multi-step, outbound sales cycle.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most of these customers are interested in data that can be delivered with low latency and very high quality across our three lines of business, which we are well positioned to deliver.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approaching this market through direct sales as well as a network of distributors and partnerships in strategic regions across the globe. While we expect this market will reflect the majority of our revenue for the next two to three years and provide operational cash flow to assist in financing our constellation, we expect that our commercial platform will ultimately be significantly larger as we scale up our constellation due simply to its larger TAM.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Space Systems, our line of business which we believe presents a substantial growth opportunity, is designed to enable us to sell our satellites directly to select customers to whom satellite ownership is important. We believe our strong intellectual property and technology portfolio, fast build-to-launch cycles, and lower cost of ownership, provides an attractive offer for our customers looking to increase their in-orbit capacity quickly, or for customers looking to build an inventory of assets to lower response times in the face of an emergency. Although this new line of business has inherent risks as discussed in Item 3.D “Risk Factors,” we believe that Space Systems will enhance our ability to effectively compete in the existing EO market.</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Commercial Platform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longer term strategy focuses on our commercial platform, which we expect will take full advantage of our constellation’s ability to capture high-resolution imagery at near zero marginal cost and build a catalog of the entire planet beginning with monthly remaps and progress first towards weekly remaps and, ultimately, daily remaps. This is a Software as a Service (“SaaS”) platform through which we plan to offer customers the ability to purchase imagery and data analytics specific to their vertical market (e.g., agriculture, forestry, energy, financial services, cartography). We expect our SaaS economics will allow us to charge customers according to the value our data provides within each customer’s value chain, whether that is a multi-billion-dollar energy company or a farmer in the Midwestern region of the United States. We expect this platform will allow us to expand the current addressable market for high-resolution EO data and unlock a significant TAM opportunity. As our business develops and governmental and D&amp;I customers become a smaller percentage of our customer base, we expect the commercial platform will constitute the majority of our revenues by 2025 and grow to 80 to 90% of our business in the long-term.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conducted a number of pilot trials that we believe validate our solutions in a variety of verticals, including agriculture, forestry, energy and infrastructure. These trials demonstrated that our solutions can successfully replace other sources of data being provided by airplanes, drones, helicopters, IoT sensor networks, etc. and that these customers are willing to purchase the data we collect at an attractive price point for our solutions. We have used this information from these pilot trials to identify an immediately addressable market which we believe will be approximately $40 billion in size once we reach weekly remaps.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Commercial Market Opportunities</w:t>
      </w:r>
    </w:p>
    <w:p>
      <w:pPr>
        <w:pStyle w:val="TextBody"/>
        <w:bidi w:val="0"/>
        <w:spacing w:before="240" w:after="283"/>
        <w:jc w:val="both"/>
        <w:rPr/>
      </w:pPr>
      <w:r>
        <w:rPr/>
      </w:r>
    </w:p>
    <w:p>
      <w:pPr>
        <w:pStyle w:val="TextBody"/>
        <w:bidi w:val="0"/>
        <w:spacing w:before="240" w:after="283"/>
        <w:jc w:val="center"/>
        <w:rPr/>
      </w:pPr>
      <w:r>
        <w:rPr/>
        <w:drawing>
          <wp:inline distT="0" distB="0" distL="0" distR="0">
            <wp:extent cx="6286500" cy="2752725"/>
            <wp:effectExtent l="0" t="0" r="0" b="0"/>
            <wp:docPr id="5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 descr=""/>
                    <pic:cNvPicPr>
                      <a:picLocks noChangeAspect="1" noChangeArrowheads="1"/>
                    </pic:cNvPicPr>
                  </pic:nvPicPr>
                  <pic:blipFill>
                    <a:blip r:embed="rId2"/>
                    <a:stretch>
                      <a:fillRect/>
                    </a:stretch>
                  </pic:blipFill>
                  <pic:spPr bwMode="auto">
                    <a:xfrm>
                      <a:off x="0" y="0"/>
                      <a:ext cx="6286500" cy="2752725"/>
                    </a:xfrm>
                    <a:prstGeom prst="rect">
                      <a:avLst/>
                    </a:prstGeom>
                  </pic:spPr>
                </pic:pic>
              </a:graphicData>
            </a:graphic>
          </wp:inline>
        </w:drawing>
      </w:r>
    </w:p>
    <w:p>
      <w:pPr>
        <w:pStyle w:val="TextBody"/>
        <w:bidi w:val="0"/>
        <w:spacing w:before="240" w:after="283"/>
        <w:ind w:left="0" w:right="0" w:firstLine="540"/>
        <w:jc w:val="center"/>
        <w:rPr/>
      </w:pPr>
      <w:r>
        <w:rPr/>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Use cases for this immediately addressable market might include: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Monitoring hydroelectric plants in high frequency to build predictive models of energy output as well as drainage in the reservoir from the surrounding basin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Oil field and pipeline monitoring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Precision agriculture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Supply chain management (agriculture)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Tree counting (forestry)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Crop management (agriculture &amp; forestry)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Planning for renewable energy projects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Precise estimation of commodities output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Yield prediction and harvesting (agriculture &amp; forestry)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Energy output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Mineral output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Geospatial risk modeling (e.g., flood, drought, fire, environmental)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Real time impact assessment, disaster management and claims estimation (e.g., storm damage, earthquakes, forest fires, oil spills)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Real time planetary health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Sea level, temperature and acidity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Fractures in polar ice caps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Global temperature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Water distribution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Monitoring illegal activities (e.g., deforestation, mining, poaching, smuggling)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key to unlocking this TAM lies in the ability to monitor the planet at both high resolution and high frequency and deliver this data to customers at the right price. Overall, this is how we see the market growing as we increase the frequency of data that once scaled, we expect to deliver at near zero marginal costs.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deliver our commercial data through our self-service platform and other third-party platforms via a subscription that reflects the end use of the data (vertical) and intrinsic value (geography, freshness) of the data, bundling analytics-ready data with vertical-specific semantic layers to enable quick integration of the data into our customers’ and partners’ processes, thereby enabling faster adoption. We believe this strategy will allow customers to quickly advance their own geospatial analytics capacity by leveraging a productized version of our data layers and data platform. Beyond raw imagery data and other sources of data that we can collect from our satellites, we are building a catalog of geospatial layers from other sources, and processing and augmenting all of these to produce a growing set of derived layers, with increasing complexity and value-add, that are made available as data-services to our customers. Our approach will allow us, our partners and customers to prototype and iterate on geospatial AI/Machine Learning models trained on our unique datasets, and then quickly roll out results into production systems. We intend to commercialize this platform and allow clients to use it to address their needs on their own.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Target commercial customers for our data are companies with their own internal geospatial analytics needs and capabilities as well as value-added service providers serving corporate and government customers worldwide from marketplaces to analytics providers. Subscriptions to the platform will be driven by the demand for our unique data set of high-resolution daily captures and derived insights. We plan to combine direct sales efforts to large customers in target verticals with partnerships with geospatial service providers and imagery data distributors to reach the long tail of geospatial data and analytics consumers. We expect that as our constellation grows and affordable high-resolution imagery and its derivatives become more frequent, new applications and markets will be created.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Driven by our unique, sub-meter resolution, we believe our data sets when scaled will cover up to 80% of the requirements of our target markets, and we expect our commercial platform to become the industry standard for consuming and implementing geospatial analysis, which will give us the leverage to consolidate an increasing number of data sources from third-parties (e.g., satellites, drones, IoT data) and our own data generation efforts (from multi-spectral imagery to hyperspectral imagery to spectrum monitoring and data collection).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and expect to continue to experience, seasonality in our business and fluctuations in our operating results due to customer behavior, buying patterns and usage-based contracts. For example, we typically have customers who increase their usage of our data services when they need more frequent data monitoring over broader areas during peak agricultural seasons, during natural disasters or other global events, or when commodity prices are at certain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before="240" w:after="283"/>
        <w:jc w:val="center"/>
        <w:rPr/>
      </w:pPr>
      <w:r>
        <w:rPr/>
        <w:drawing>
          <wp:inline distT="0" distB="0" distL="0" distR="0">
            <wp:extent cx="4791075" cy="3143250"/>
            <wp:effectExtent l="0" t="0" r="0" b="0"/>
            <wp:docPr id="5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 descr=""/>
                    <pic:cNvPicPr>
                      <a:picLocks noChangeAspect="1" noChangeArrowheads="1"/>
                    </pic:cNvPicPr>
                  </pic:nvPicPr>
                  <pic:blipFill>
                    <a:blip r:embed="rId3"/>
                    <a:stretch>
                      <a:fillRect/>
                    </a:stretch>
                  </pic:blipFill>
                  <pic:spPr bwMode="auto">
                    <a:xfrm>
                      <a:off x="0" y="0"/>
                      <a:ext cx="4791075" cy="3143250"/>
                    </a:xfrm>
                    <a:prstGeom prst="rect">
                      <a:avLst/>
                    </a:prstGeom>
                  </pic:spPr>
                </pic:pic>
              </a:graphicData>
            </a:graphic>
          </wp:inline>
        </w:drawing>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Design through launch</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Fast iteration between product innovation, production and launch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Owning the design to manufacturing helps eliminate third-party costs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In-orbit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Own and control data capture of the earth’s surface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Utilize third-party ground station infrastructure for global coverage and to reduce costs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Imagery and Solutions commercialization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Capture and own high-resolution imagery of the entire Earth. Unconstrained use of imagery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Use internal data science capabilities to transform images into insights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vertical integration across design, manufacturing and operations produces efficiencies up and down the value chain, which allows us to reduce intermediary costs, control quality and scale up more quickly.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Human Capital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274 full-time employees globally, which includes 150 employees in Argentina (mostly involved in R&amp;D, finance, and accounting), 47 in Uruguay (mostly involved in manufacturing), 44 in Spain, 21 in the U.S. and 12 in other countries.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always focused on attracting and retaining the best talent with the highest possible cultural alignment. Our geographically-distributed nature is a core tenet that reaches back to the earliest days of Satellogic; well in advance of the rise of work-from-home arrangements in recent years. Our diverse group of employees earnestly shares these common values: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Get it done</w:t>
      </w:r>
      <w:r>
        <w:rPr>
          <w:rFonts w:ascii="Times New Roman;sans-serif" w:hAnsi="Times New Roman;sans-serif"/>
          <w:b w:val="false"/>
          <w:color w:val="000000"/>
          <w:sz w:val="20"/>
        </w:rPr>
        <w:t xml:space="preserve">. Our relentless commitment to hold ourselves accountable and deliver true value.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Be purpose driven</w:t>
      </w:r>
      <w:r>
        <w:rPr>
          <w:rFonts w:ascii="Times New Roman;sans-serif" w:hAnsi="Times New Roman;sans-serif"/>
          <w:b w:val="false"/>
          <w:color w:val="000000"/>
          <w:sz w:val="20"/>
        </w:rPr>
        <w:t xml:space="preserve">. Our intrinsic motivation to make the impossible possible.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Never stop learning</w:t>
      </w:r>
      <w:r>
        <w:rPr>
          <w:rFonts w:ascii="Times New Roman;sans-serif" w:hAnsi="Times New Roman;sans-serif"/>
          <w:b w:val="false"/>
          <w:color w:val="000000"/>
          <w:sz w:val="20"/>
        </w:rPr>
        <w:t xml:space="preserve">. Being intellectually curious, open-minded, and learning from others.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Push the limits</w:t>
      </w:r>
      <w:r>
        <w:rPr>
          <w:rFonts w:ascii="Times New Roman;sans-serif" w:hAnsi="Times New Roman;sans-serif"/>
          <w:b w:val="false"/>
          <w:color w:val="000000"/>
          <w:sz w:val="20"/>
        </w:rPr>
        <w:t xml:space="preserve">. Challenge the status quo, leave your comfort zone and tackle impossible challenges.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Go beyond ego</w:t>
      </w:r>
      <w:r>
        <w:rPr>
          <w:rFonts w:ascii="Times New Roman;sans-serif" w:hAnsi="Times New Roman;sans-serif"/>
          <w:b w:val="false"/>
          <w:color w:val="000000"/>
          <w:sz w:val="20"/>
        </w:rPr>
        <w:t xml:space="preserve">. Be humble, honest, empathetic and build together for our company, our community and our planet.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Satellogic, these values precede traditional performance measures when assessing a person’s fit with us. Our vision inherently challenges conventions, and thus requires a special kind of spirit not only to succeed, but even to take on these challenges in the first place. This approach to human capital has enabled us to grow while keeping our core spirit and sense of purpose throughout the twists and turns of our life cycle.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developing all of our people in different dimensions, including programmatic leadership, people leadership, business leadership and technological leadership. We actively promote a trust-based organization and a safe environment for risk taking by providing effective mentorship and expecting people to “disagree and commit”.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early years of our company, the founders and the senior leaders were the torchbearers of these values and culture, but our expectation is that every leader, which is to say every employee, subscribes to and lives by these values every day.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 of our employees are represented by a labor union, though in some countries our employees may be subject to industry-wide collective bargaining agreements as a matter of law. We have not had any work stoppages and consider our relations with our employees to be good.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Facilities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out of our headquarters in a free trade zone, Zonamerica, in Montevideo, Uruguay, which consists of approximately 11,300 square feet of office space and an approximately 11,200 square foot manufacturing plant, with an annual production capacity of approximately 24 satellites. Each of our 25 satellites in orbit today was manufactured, assembled, integrated and tested in this facility, which is leased pursuant to multi-year lease agreements scheduled to expire in October 2025. We also have a high-throughput plant in the Netherlands that was nearing completion and being prepared for manufacturing before we delayed the launch of the facility in late 2022. As a result of lower anticipated manufacturing requirements in 2023, which were met through production in our Uruguay plant, manufacturing at the Netherlands plant was never initiated. In late 2023, in connection with our US Domestication strategy, we determined satellite production in the Netherlands was no longer within our strategic plan. As a result we have initiated a process to determine the most efficient path to exit the facility.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maintain approximately 11,000 square feet of aggregate space dedicated to administrative, finance, sales, marketing and R&amp;D functions in Buenos Aires, Argentina (R&amp;D and administrative), Córdoba, Argentina (R&amp;D), Barcelona, Spain (R&amp;D), and Davidson, North Carolina, United States (finance, sales and marketing).</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Sales and Marketing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date, our sales teams have focused on governmental D&amp;I customer opportunities. Since developing and launching our initial constellation of satellites during 2020, we have significantly accelerated our sales and marketing efforts to government D&amp;I agencies, emphasizing relatively new participants in the existing market. We plan to focus our marketing efforts to increase demand for our products and services and awareness of our brand among these agencies.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better serve the government and D&amp;I vertical, we plan to continue developing our tasking and delivery web-based platform to support distributors, up-sales and increased pricing and capacity transparency in the market.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increase access to Satellogic EO data and better serve the broader commercial market, Satellogic leverages the expanding satellite imagery and geospatial ecosystem (i.e., channel, reseller and value-added service providers). The ecosystem, including satellite operator integrators, marketplaces, regional- and vertical-specific service providers are an integral part of Satellogic’s strategy. </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Customers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near term, we intend to derive our revenue from providing EO services, satellite sales, and related services to governments. In the longer-term, we intend to expand our operations to serve commercial customers in a variety of markets and industries.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dependent on three commercial contracts in addition to a small number of other customers for our revenue. In November 2021, we entered into a five-year noncancellable agreement with a technology company that requires the customer to purchase a minimum of $4.0 million of multispectral, hyperspectral, full-motion video and private delivery uplift products each year. The customer pays us in non-cash consideration in the form of a license to a proprietary software platform, which we use for internal operations. During 2023, we recognized $2.8 million in revenue from this customer.</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29, 2022, we entered into a $6 million, three-year, constellation-as-a-service agreement. Recognition of revenue under this contract began in the first quarter of 2023 with the initiation of service.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2023, we began collaboration with Tata Advanced Systems Limited (“TASL”), India’s leading provider of defense and intelligence technology and services, for establishing and developing local space technology capabilities in India. We commenced the project with a $5.0 million contract to provide comprehensive training, knowledge transfer, and local assembly of optical sub-meter resolution EO satellites, and the first of which is anticipated to be launched in 2024. The focus will be on manufacturing satellites and developing imagery in India for national defense and commercial applications, toward which TASL is commissioning a satellite AIT plant at its Vemagal facility in Karnataka.</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generally engaged in manufacturing activities and has near-term exposure to fluctuations in the supply of raw materials. We design the systems, subsystems and core components and technologies that go into creating and manufacturing our satellites. We manufacture many of our components, but we also partner with third parties to manufacture certain other components to our design specifications. We then assemble, integrate and test the components and satellites in our facilities. We have a global supply chain of upstream and downstream partners including manufacturers, suppliers and launch providers from a number of countries including the United States. Certain aspects of our manufacturing activities require relatively scarce raw materials or specialty component parts; occasionally, we have experienced difficulty in our ability to procure raw materials, components, sub-assemblies and other supplies required in our manufacturing processes. We bear some risk of supply chain delivery issues and price increases on account of the structure of our vendor contracts.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17 2022, we entered into a master supply agreement with a related party, OS, a company engaged in the design and production of telescopes and opto-mechanical and aerospace instrumentation for ground and space-based applications. This agreement with OS is aimed at regulating the terms and conditions under which we will purchase from OS, and OS will sell or provide to the us, certain products and ancillary services to be integrated into our satellites.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See Item 7.B </w:t>
      </w:r>
      <w:r>
        <w:rPr>
          <w:color w:val="000000"/>
        </w:rPr>
        <w:t>“</w:t>
      </w:r>
      <w:r>
        <w:rPr>
          <w:rFonts w:ascii="Times New Roman;sans-serif" w:hAnsi="Times New Roman;sans-serif"/>
          <w:b w:val="false"/>
          <w:i/>
          <w:color w:val="000000"/>
          <w:sz w:val="20"/>
        </w:rPr>
        <w:t>Related Party Transactions”</w:t>
      </w:r>
      <w:r>
        <w:rPr>
          <w:color w:val="000000"/>
        </w:rPr>
        <w:t xml:space="preserve"> </w:t>
      </w:r>
      <w:r>
        <w:rPr>
          <w:rFonts w:ascii="Times New Roman;sans-serif" w:hAnsi="Times New Roman;sans-serif"/>
          <w:b w:val="false"/>
          <w:color w:val="000000"/>
          <w:sz w:val="20"/>
        </w:rPr>
        <w:t>for further information regarding the related party transaction with OS.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Launch Providers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launch providers, our partner selection process typically revolves around availability and cost. In January 2021, we signed a Rideshare Multi-Launch Agreement with SpaceX, our preferred rideshare launch provider, and we expect to continue our launch program with them for the foreseeable future. In April 2022, we secured launch capacity for our next 68 launches with SpaceX, via the SpaceX Agreement. At December 31, 2023, we had 60 launch slots remaining and we continue to work with this rideshare launch provider to schedule upcoming satellite launches.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every launch, a joint launch campaign is performed at the launch provider’s facility that includes our team, the launch service provider and, in some cases, a third-party separation systems supplier. We provide all the necessary equipment and personnel to test and prepare the satellites for launch while the launch service provider and, if applicable, the third-party separation systems supplier, provide the necessary machinery and personnel to integrate the satellites into the launch vehicle. Once these joint operations are complete, the launch service supplier executes the launch and delivers the satellites into the desired orbit, and we begin the regular, in-orbit operations.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Ground Station and Cloud Storage Infrastructure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utilize third parties today for ground station, processing, and storage infrastructure. As our business grows, we will continue to monitor the advantages and disadvantages of our outsourced model and may decide to vertically integrate one of more of these functions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Satellites and Technology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vertically integrated company that designs, manufactures, integrates and operates our own high-resolution imaging satellites, and the image processing pipeline necessary to deliver services to our customers, including images and value-added layers of semantic data. We have innovative technology in every segment of our vertical integration: satellite components, satellite subsystems, satellite systems design, satellite integration and testing, satellite operations, image processing and data delivery.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approach towards component selection and design includes the extensive use of commercial off-the-shelf components (“COTS”) and modified-COTS, proprietary component selection and screening methods, and the systematic replacement of expensive hardware using smarter software.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unique camera design uses a closed-loop stabilization system and adaptive optics to enable continuous collection of high-resolution imagery from a small-telescope aperture. This patented design is one of the cornerstones of our unit-economics differentiation, allowing us to collect over 10 times more data than any other small-satellite design, and giving us great flexibility to operate our satellites under varying conditions of lighting, altitude and platform stability.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upon our ability to protect our core technology and intellectual property. To protect our proprietary rights and technology, we rely on a combination of different types of intellectual property rights including patents, trademarks and trade secrets, and confidentiality agreements and license agreements with consultants, vendors and customers. As of the date of this Report, we have 30 issued patents, two utility models and 49 pending patent applications in nine jurisdictions. We continue to invest in research and development to design, manufacture and fly new technology to orbit in every new satellite we launch, and we complete every new satellite design on a full design cycle of nine months. We drive technology R&amp;D with the goal of maintaining our high-resolution imaging satellites in a Moore’s law equivalent curve: roughly doubling capacity every 18 months at the same price point.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Report, our satellite constellation consists of 25 NewSat satellites in orbit, 22 of which are operational, two of which are in the commissioning stage and one is being used for testing.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With a mass of less than 50 kilograms, a production cost of less than $1 million (approximately $1 million including launch costs), a daily imaging production capacity of over 300,000 kilometers and carrying a multispectral camera with less than one meter resolution and a hyperspectral camera at 30 meter resolution, with our patented technology, we believe that our latest satellite model, the NewSat Mark-V, is superior to those of our competitors in terms of unit economics, capacity and cost. Over the long term we plan to expand our constellation of satellites to approximately 200.</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anticipated technology roadmap is as follows: </w:t>
      </w:r>
    </w:p>
    <w:p>
      <w:pPr>
        <w:pStyle w:val="TextBody"/>
        <w:bidi w:val="0"/>
        <w:spacing w:before="240" w:after="283"/>
        <w:jc w:val="left"/>
        <w:rPr/>
      </w:pPr>
      <w:r>
        <w:rPr/>
        <w:drawing>
          <wp:inline distT="0" distB="0" distL="0" distR="0">
            <wp:extent cx="6248400" cy="1514475"/>
            <wp:effectExtent l="0" t="0" r="0" b="0"/>
            <wp:docPr id="5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 descr=""/>
                    <pic:cNvPicPr>
                      <a:picLocks noChangeAspect="1" noChangeArrowheads="1"/>
                    </pic:cNvPicPr>
                  </pic:nvPicPr>
                  <pic:blipFill>
                    <a:blip r:embed="rId4"/>
                    <a:stretch>
                      <a:fillRect/>
                    </a:stretch>
                  </pic:blipFill>
                  <pic:spPr bwMode="auto">
                    <a:xfrm>
                      <a:off x="0" y="0"/>
                      <a:ext cx="6248400" cy="1514475"/>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Long Term Growth Opportunities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initial EO constellation and infrastructure are the key building blocks that we expect will enable us to leverage large constellations of small satellites to deliver a wide variety of services to Earth. Our key building blocks include: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Complete, low-cost satellite bus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Modular satellite architecture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High-throughput satellite manufacturing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Satellite operations at scale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Multi-payload, in-orbit platform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Inter-satellite laser mesh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LEO/MEO/GEO complementarity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Regulatory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NOAA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purpose of NOAA’s Commercial Remote Sensing Regulatory Affairs division is to balance the commercial viability of private earth remote sensing space systems and sound regulatory practices and policies while protecting U.S. national security, foreign policy and international obligations.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satellites are purposefully designed with telescopes and image capture technology to enable and support the collection of earth imagery. Each satellite is designed and built to collect high-resolution multispectral imagery, hyperspectral imagery and full motion video. The raw data collected by our constellation is collected through a series of ground stations strategically located in several global locations outside of the United States. We have a primary mission command control center in the U.S. that has ultimate operational control of our constellation and is supported by additional teams in each of Spain and Argentina. With the shift of ultimate operational constellation control to the U.S. in 2023, we filed for an operator’s license with NOAA which was granted in November 2023. As a result of obtaining this NOAA operator’s license, we are subject to NOAA’s oversight as we pivot operational control of our satellite constellation to our U.S. personnel and expand our ground station network to include U.S. based ground stations.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we established a wholly owned subsidiary (Satellogic Federal LLC f/k/a Satellogic North America LLC) to focus specifically on cultivating business with U.S. customers. In connections with the pursuit of U.S. customers, we anticipate modifications to some of the capture and delivery processes, particularly in support of public sector customers with discernible security and privacy requirements. As we grow our U.S. business, we expect to coordinate with the NOAA Commercial Remote Sensing Regulatory Affairs agency to assure an understanding of regulations as they evolve and to proactively share any strategic changes contemplated by us that may relate to NOAA’s purview.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FAA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a Rideshare Multi-Launch Agreement with SpaceX in early 2021 and the SpaceX Agreement in April 2022. By entering into launch agreements with a U.S.-based launch provider, we are directly and indirectly subject to the license requirements of the FAA’s Office of Commercial Space Transportation (“AST”). The FAA regulates the airspace of the U.S., through which launch vehicles must fly during launch to orbit and through which downlinks of raw data may occur if directed to a U.S.-based ground station. The AST office predominantly processes launch license requests submitted by launch vehicle operators, in our case, SpaceX, which includes information on the rideshare payloads flying on any given mission. As a result, reviews of our payloads by AST occur during, for example, the execution of Technical Assistance Agreement(s) upon SpaceX request and other associated launch reviews and licenses.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the National Aeronautics and Space Administration (“NASA”) and European Space Agency (“ESA”) standards regarding orbit debris mitigation. Having voluntarily subscribed to the United Nations Committee on Personal Uses of Outer Space orbital debris principles and guidance, we sought out the leading technical standards guiding responsible design, management, and test of space objects to meet the defined measures. To that end, we use the NASA orbit debris standard (NASA-STD-8719.14) and the ESA Orbital Debris Mitigation Guidelines (IADC-02-01, Current Revision).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ITAR, EAR and Export Controls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global supply chain of upstream and downstream partners including manufacturers, suppliers and launch providers from a number of countries, including the U.S. The ITAR and EAR are the most relevant export control regulations we monitor. Generally, the ITAR restricts the export of hardware, software, technical data, and services containing defense or strategic applications. The EAR similarly regulates the export of hardware, software, and technology that has commercial or “dual-use” applications (i.e., for both military and commercial applications) or that have less sensitive military or space-related applications not subject to the ITAR. The regulations exist to advance the national security and foreign policy interests of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upon the technologies we have procured from U.S. sources, we have not been specifically subject to ITAR. Since our export location may invoke, in certain instances, the EAR of the Bureau of Industry and Security of the U.S. Department of Commerce, we track our component sourcing. We procure some components from U.S. suppliers listed on the Commerce Control List and we are therefore subject to the EAR. We export our satellites to the U.S. for launch pursuant to the SpaceX Agreement, which provides for launch services. With this current sourcing model and partner ecosystem, we must comply with the EAR.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government agencies responsible for administering the ITAR and the EAR have significant discretion in the interpretation and enforcement of these regulations. The agencies also have significant discretion in approving, denying, or conditioning authorizations to engage in controlled activities. Such decisions are influenced by the U.S. government’s commitment to multilateral export control regimes, particularly the Missile Technology Control Regime concerning the spaceflight business.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different types of internal controls and measures are required to ensure compliance with export control regulations. In particular, we routinely complete end user compliance documents, record sourcing detail regarding country of origin and known classification numbers, determine the appropriate licensing jurisdiction (where applicable), and provide notice to internal and partner foreign team members of export-controlled information restrictions. In accordance with our Sanctions Compliance Policy, we do not export to embargoed, targeted sanction, or special policy countries. We have implemented a compliance diligence process for all third parties including, among other validations, verification of the parties with whom we contract at an entity and individual level.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Interagency Review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review and approval of any license discussed above, as may be required, will be subject to interagency reviews that allow multiple government agencies including the U.S. Department of Commerce, U.S. Department of State, U.S. DoD, NASA, and others. The purpose of this interagency review is to examine such license applications from each agency’s respective perspective including but not limited to safety, operational, national security, foreign policy and international obligations, as well as review of foreign ownership.</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Other Potential Future U.S.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we grow our U.S. business and to the extent we become a U.S. governmental contractor, our business will be subject to various additional U.S. regulation and related requirements, including but not limited to (1) the Defense Federal Acquisition Regulation Supplement and the U.S. DoD and federal cybersecurity requirements, in connection with any defense work we perform in the future for the U.S. government and defense prime contractors, (2) the National Industrial Security Program Operating Manual administered by the U.S. Defense Counterintelligence and Security Agency, and other U.S. government security protocols when accessing sensitive information, (3) maintaining national security clearance and mitigation elements under the National Industry Security Program and agreement with the U.S. DoD regarding any appropriate FOCI mitigation arrangement with respect to our U.S.-based subsidiary and (4) conducting routine investigations and reviews relating to compliance with various U.S. laws and regulations, including those associated with organizational conflicts of interest, procurement integrity, bid integrity and claim presentation, among others.</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However, we do not believe any claims, lawsuits, or proceedings currently pending, individually or in the aggregate, if adversely determined, would be material to our business or likely to result in a material adverse effect on our business,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ind w:left="0" w:right="0" w:firstLine="540"/>
        <w:jc w:val="left"/>
        <w:rPr/>
      </w:pPr>
      <w:r>
        <w:rPr>
          <w:rFonts w:ascii="Times New Roman;sans-serif" w:hAnsi="Times New Roman;sans-serif"/>
          <w:b w:val="false"/>
          <w:color w:val="000000"/>
          <w:sz w:val="20"/>
        </w:rPr>
        <w:t>C.    </w:t>
      </w:r>
      <w:r>
        <w:rPr>
          <w:rFonts w:ascii="Times New Roman;sans-serif" w:hAnsi="Times New Roman;sans-serif"/>
          <w:b/>
          <w:color w:val="000000"/>
          <w:sz w:val="20"/>
        </w:rPr>
        <w:t>Organizational Structure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are a holding company. The following diagram shows our ownership and structure </w:t>
      </w:r>
      <w:r>
        <w:rPr>
          <w:rFonts w:ascii="Times New Roman;sans-serif" w:hAnsi="Times New Roman;sans-serif"/>
          <w:b w:val="false"/>
          <w:color w:val="000000"/>
          <w:sz w:val="13"/>
        </w:rPr>
        <w:t>(1)</w:t>
      </w:r>
      <w:r>
        <w:rPr>
          <w:rFonts w:ascii="Times New Roman;sans-serif" w:hAnsi="Times New Roman;sans-serif"/>
          <w:b w:val="false"/>
          <w:color w:val="000000"/>
          <w:sz w:val="20"/>
        </w:rPr>
        <w:t>:</w:t>
      </w:r>
    </w:p>
    <w:p>
      <w:pPr>
        <w:pStyle w:val="TextBody"/>
        <w:bidi w:val="0"/>
        <w:spacing w:before="120" w:after="283"/>
        <w:ind w:left="0" w:right="0" w:firstLine="540"/>
        <w:jc w:val="left"/>
        <w:rPr/>
      </w:pPr>
      <w:r>
        <w:rPr/>
        <w:drawing>
          <wp:inline distT="0" distB="0" distL="0" distR="0">
            <wp:extent cx="5943600" cy="3228975"/>
            <wp:effectExtent l="0" t="0" r="0" b="0"/>
            <wp:docPr id="6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 descr=""/>
                    <pic:cNvPicPr>
                      <a:picLocks noChangeAspect="1" noChangeArrowheads="1"/>
                    </pic:cNvPicPr>
                  </pic:nvPicPr>
                  <pic:blipFill>
                    <a:blip r:embed="rId5"/>
                    <a:stretch>
                      <a:fillRect/>
                    </a:stretch>
                  </pic:blipFill>
                  <pic:spPr bwMode="auto">
                    <a:xfrm>
                      <a:off x="0" y="0"/>
                      <a:ext cx="5943600" cy="3228975"/>
                    </a:xfrm>
                    <a:prstGeom prst="rect">
                      <a:avLst/>
                    </a:prstGeom>
                  </pic:spPr>
                </pic:pic>
              </a:graphicData>
            </a:graphic>
          </wp:inline>
        </w:drawing>
      </w:r>
    </w:p>
    <w:p>
      <w:pPr>
        <w:pStyle w:val="TextBody"/>
        <w:bidi w:val="0"/>
        <w:spacing w:before="120" w:after="283"/>
        <w:ind w:left="0" w:right="0" w:firstLine="540"/>
        <w:jc w:val="left"/>
        <w:rPr/>
      </w:pPr>
      <w:r>
        <w:rPr/>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(1)All lines represent 100% ownership unless otherwise indicated. </w:t>
      </w:r>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Subsidiaries of the Group as of March 15, 2024:</w:t>
      </w:r>
    </w:p>
    <w:tbl>
      <w:tblPr>
        <w:tblW w:w="10205" w:type="dxa"/>
        <w:jc w:val="left"/>
        <w:tblInd w:w="0" w:type="dxa"/>
        <w:tblLayout w:type="fixed"/>
        <w:tblCellMar>
          <w:top w:w="28" w:type="dxa"/>
          <w:left w:w="28" w:type="dxa"/>
          <w:bottom w:w="28" w:type="dxa"/>
          <w:right w:w="28" w:type="dxa"/>
        </w:tblCellMar>
      </w:tblPr>
      <w:tblGrid>
        <w:gridCol w:w="896"/>
        <w:gridCol w:w="709"/>
        <w:gridCol w:w="693"/>
        <w:gridCol w:w="109"/>
        <w:gridCol w:w="109"/>
        <w:gridCol w:w="109"/>
        <w:gridCol w:w="2041"/>
        <w:gridCol w:w="1933"/>
        <w:gridCol w:w="1909"/>
        <w:gridCol w:w="109"/>
        <w:gridCol w:w="109"/>
        <w:gridCol w:w="109"/>
        <w:gridCol w:w="399"/>
        <w:gridCol w:w="399"/>
        <w:gridCol w:w="572"/>
      </w:tblGrid>
      <w:tr>
        <w:trPr/>
        <w:tc>
          <w:tcPr>
            <w:tcW w:w="89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2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Country of</w:t>
              <w:br/>
              <w:t>incorporation</w:t>
            </w:r>
          </w:p>
        </w:tc>
      </w:tr>
      <w:tr>
        <w:trPr/>
        <w:tc>
          <w:tcPr>
            <w:tcW w:w="22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Urugus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assembly, integration, test and exports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Uruguay</w:t>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Nettar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Intermediate holding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B.V.I.</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Nettar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Intermediate holding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Uruguay</w:t>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Telluric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(image analytics and user interfaces)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Israel</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Satellogic V.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Intermediate holding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Satellogic USA, Inc.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sales and marketing, product strategy and business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Satellogic S.A.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administration, back office services (accounting) and prototype-building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Argentina</w:t>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Satellogic Solutions S.L.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(data science solutions and machine learning over the satellite images)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Satellogic China LTD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Satellogic China Beijing Branch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Satellogic Federal LLC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Satellogic Netherlands B.V.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High-throughput plant (on hold)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r>
    </w:tbl>
    <w:p>
      <w:pPr>
        <w:pStyle w:val="TextBody"/>
        <w:bidi w:val="0"/>
        <w:spacing w:lineRule="auto" w:line="288" w:before="240" w:after="283"/>
        <w:ind w:left="0" w:right="0" w:hanging="54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This entity is controlled through Satellogic V. Inc.</w:t>
      </w:r>
    </w:p>
    <w:p>
      <w:pPr>
        <w:pStyle w:val="TextBody"/>
        <w:bidi w:val="0"/>
        <w:spacing w:lineRule="auto" w:line="288" w:before="0" w:after="0"/>
        <w:ind w:left="0" w:right="0" w:hanging="54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This entity is controlled through Nettar, S.A. an intermediate holding entity of the Group. </w:t>
      </w:r>
    </w:p>
    <w:p>
      <w:pPr>
        <w:pStyle w:val="TextBody"/>
        <w:bidi w:val="0"/>
        <w:spacing w:lineRule="auto" w:line="288" w:before="0" w:after="0"/>
        <w:ind w:left="0" w:right="0" w:hanging="54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This entity is controlled through Urugus S.A.</w:t>
      </w:r>
    </w:p>
    <w:p>
      <w:pPr>
        <w:pStyle w:val="TextBody"/>
        <w:bidi w:val="0"/>
        <w:spacing w:lineRule="auto" w:line="288" w:before="0" w:after="0"/>
        <w:ind w:left="0" w:right="0" w:hanging="54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Branch of Satellogic China LTD</w:t>
      </w:r>
    </w:p>
    <w:p>
      <w:pPr>
        <w:pStyle w:val="TextBody"/>
        <w:bidi w:val="0"/>
        <w:spacing w:lineRule="auto" w:line="288" w:before="0" w:after="0"/>
        <w:ind w:left="0" w:right="0" w:hanging="54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This entity is controlled through Satellogic USA, Inc</w:t>
      </w:r>
    </w:p>
    <w:p>
      <w:pPr>
        <w:pStyle w:val="TextBody"/>
        <w:bidi w:val="0"/>
        <w:spacing w:lineRule="auto" w:line="288" w:before="0" w:after="0"/>
        <w:ind w:left="0" w:right="0" w:hanging="54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This entity is controlled by Satellogic Solutions S.L.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left"/>
        <w:rPr/>
      </w:pPr>
      <w:r>
        <w:rPr>
          <w:rFonts w:ascii="Times New Roman;sans-serif" w:hAnsi="Times New Roman;sans-serif"/>
          <w:b w:val="false"/>
          <w:color w:val="000000"/>
          <w:sz w:val="20"/>
        </w:rPr>
        <w:t>D.    </w:t>
      </w:r>
      <w:r>
        <w:rPr>
          <w:rFonts w:ascii="Times New Roman;sans-serif" w:hAnsi="Times New Roman;sans-serif"/>
          <w:b/>
          <w:color w:val="000000"/>
          <w:sz w:val="20"/>
        </w:rPr>
        <w:t>Property, Plants and Equipment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“Item 4 – Business Overview – Operations – Facilities” above, and Note 8 (Property and Equipment, Net)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4A.    UNRESOLVED STAFF COMMENTS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OPERATING AND FINANCIAL REVIEW AND PROSPECTS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A.    Operating Results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of our financial condition and results of operations should be read in conjunction with our financial statements and notes to those statements included in this Report. This discussion contains forward-looking statements that involve risks and uncertainties. Please see “Cautionary Note Regarding Forward-Looking Statements” and “Risk Factors” in this Report.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Certain information called for by this Item 5, including a discussion of the results of operations for the year ended December 31, 2022 compared to the year ended December 31, 2021 has been reported previously in our Form </w:t>
      </w:r>
      <w:hyperlink r:id="rId6">
        <w:r>
          <w:rPr>
            <w:rStyle w:val="InternetLink"/>
            <w:rFonts w:ascii="Times New Roman;sans-serif" w:hAnsi="Times New Roman;sans-serif"/>
            <w:b w:val="false"/>
            <w:color w:val="0000FF"/>
            <w:sz w:val="20"/>
            <w:u w:val="single"/>
          </w:rPr>
          <w:t>20-F</w:t>
        </w:r>
      </w:hyperlink>
      <w:r>
        <w:rPr>
          <w:color w:val="000000"/>
        </w:rPr>
        <w:t xml:space="preserve"> </w:t>
      </w:r>
      <w:r>
        <w:rPr>
          <w:rFonts w:ascii="Times New Roman;sans-serif" w:hAnsi="Times New Roman;sans-serif"/>
          <w:b w:val="false"/>
          <w:color w:val="000000"/>
          <w:sz w:val="20"/>
        </w:rPr>
        <w:t>filed on April 27, 2023 and is not repeated herein.</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Key Factors Affecting Operating Results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performance and future success depends on several factors that present significant opportunities for us, but also pose risks and challenges, including those discussed in the section entitled “Risk Factors,” in the section entitled "Competitive Advantage," and in the section entitled "Growth Strategies."</w:t>
      </w:r>
    </w:p>
    <w:p>
      <w:pPr>
        <w:pStyle w:val="TextBody"/>
        <w:bidi w:val="0"/>
        <w:spacing w:lineRule="auto" w:line="288" w:before="360" w:after="283"/>
        <w:jc w:val="both"/>
        <w:rPr/>
      </w:pPr>
      <w:r>
        <w:rPr>
          <w:rFonts w:ascii="Times New Roman;sans-serif" w:hAnsi="Times New Roman;sans-serif"/>
          <w:b/>
          <w:i/>
          <w:color w:val="000000"/>
          <w:sz w:val="20"/>
        </w:rPr>
        <w:t>Key Components of Results of Operations</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briefly describes the components of revenue and expenses as presented in our Consolidated Statements of Operations and Comprehensive Loss.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early-stage revenue company with limited commercial operations, and our activities to date have been conducted in South America, Asia, Europe and North America. Currently, we conduct business through one operating segment. The Consolidated Financial Statements as of December 31, 2023 and 2022, and for the years ended December 31, 2023, 2022 and 2021 (“the Consolidated Financial Statements”) have been prepared in accordance with U.S. GAAP and the rules and regulations of the SEC.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our accounts and those of our wholly owned subsidiaries. All intercompany accounts and transactions have been eliminated in consolidation. The Consolidated Financial Statements are presented in United States thousands of dollars (hereinafter “U.S. dollars” or “$”), unless stated otherwise. </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currently derived from our Asset Monitoring, CaaS and Space Systems business lines. We sell our imagery to Asset Monitoring customers as a single task and recognize revenue at a point-in-time , while we enter into arrangements with CaaS customers that provide a stand-ready commitment and recognize revenue over time. For our Space Systems business lines, we sell our satellites and related products directly to customers and typically recognize revenue at a point in time.</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includes direct costs related to ground stations, cloud and infrastructure costs and digital image processing.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of the costs related to salaries, wages and other benefits, professional fees and stock-based compensation expense related to our back-office functions. Also included in general and administrative expenses are expense for estimated credit losses on accounts receivable and other administrative expenses.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of the costs related to salaries, wages and other benefits, professional fees, stock-based compensation expense and other research and development related expenses.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Depreciation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includes depreciation of satellites and other property and equipment.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operating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consist of salaries, wages and other benefits, professional fees and stock-based compensation related to our sales and marketing, production and mission operations functions.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Finance income (expense),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Finance costs, net is primarily comprised of interest expense related to Debt prior to conversion and payoff in connection with the Merger, offset by interest earned on our Cash and Cash Equivalents.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financial instruments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warrant and earnout liabilities are subject to remeasurement to fair value at each balance sheet date. Changes in the fair value of these liabilities are recorded to the Change in fair value of financial instruments in the Consolidated Statements of Operations and Comprehensive Loss.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Loss on extinguishment of debt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consists of the net of gains and losses from the extinguishment of debt instruments.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mainly of differences related to foreign exchange gains and losses.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will be subject to taxation once domiciled in Delaware following the effectiveness of the Domestication, currently, we are not subject to taxation in the BVI, due to the 0% statutory tax rate, but we may be subject to withholding taxes paid at source on interest, dividends received and paid in the various jurisdictions in which we operate, other fixed, annual, determinable or periodic income, and/or income earned in other jurisdictions where we have operations. Current income tax assets and liabilities are measured at the amount expected to be recovered from or paid to the taxation authorities where we operate. The tax rates and tax laws used to compute the amount are those that are enacted or substantively enacted at the reporting date in the countries where we operate and generate taxable income. Deferred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is provided using the liability method on temporary differences between the tax basis of assets and liabilities and their carrying amounts for financial reporting purposes at the reporting date.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Comparison of Results for the years ended December 31, 2023 and 2022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 a discussion of our consolidated statements of operations for the year ended December 31, 2022 as compared to the year ended December 31, 2021, refer to the section titled “Comparison of Results for the years ended December 31, 2022 and 2021” in our Form 20-F filed on April 27, 2023.</w:t>
      </w:r>
    </w:p>
    <w:p>
      <w:pPr>
        <w:pStyle w:val="TextBody"/>
        <w:bidi w:val="0"/>
        <w:spacing w:before="120" w:after="283"/>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Results of operations are as follows: </w:t>
      </w:r>
    </w:p>
    <w:tbl>
      <w:tblPr>
        <w:tblW w:w="10205" w:type="dxa"/>
        <w:jc w:val="center"/>
        <w:tblInd w:w="0" w:type="dxa"/>
        <w:tblLayout w:type="fixed"/>
        <w:tblCellMar>
          <w:top w:w="28" w:type="dxa"/>
          <w:left w:w="28" w:type="dxa"/>
          <w:bottom w:w="28" w:type="dxa"/>
          <w:right w:w="28" w:type="dxa"/>
        </w:tblCellMar>
      </w:tblPr>
      <w:tblGrid>
        <w:gridCol w:w="1444"/>
        <w:gridCol w:w="1193"/>
        <w:gridCol w:w="1196"/>
        <w:gridCol w:w="196"/>
        <w:gridCol w:w="707"/>
        <w:gridCol w:w="109"/>
        <w:gridCol w:w="109"/>
        <w:gridCol w:w="109"/>
        <w:gridCol w:w="109"/>
        <w:gridCol w:w="196"/>
        <w:gridCol w:w="707"/>
        <w:gridCol w:w="109"/>
        <w:gridCol w:w="109"/>
        <w:gridCol w:w="109"/>
        <w:gridCol w:w="109"/>
        <w:gridCol w:w="196"/>
        <w:gridCol w:w="707"/>
        <w:gridCol w:w="109"/>
        <w:gridCol w:w="109"/>
        <w:gridCol w:w="109"/>
        <w:gridCol w:w="109"/>
        <w:gridCol w:w="196"/>
        <w:gridCol w:w="707"/>
        <w:gridCol w:w="109"/>
        <w:gridCol w:w="109"/>
        <w:gridCol w:w="109"/>
        <w:gridCol w:w="109"/>
        <w:gridCol w:w="241"/>
        <w:gridCol w:w="241"/>
        <w:gridCol w:w="534"/>
      </w:tblGrid>
      <w:tr>
        <w:trPr/>
        <w:tc>
          <w:tcPr>
            <w:tcW w:w="144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8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of US dollars)</w:t>
            </w:r>
          </w:p>
        </w:tc>
        <w:tc>
          <w:tcPr>
            <w:tcW w:w="36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vs 2022</w:t>
            </w:r>
          </w:p>
        </w:tc>
      </w:tr>
      <w:tr>
        <w:trPr/>
        <w:tc>
          <w:tcPr>
            <w:tcW w:w="3833" w:type="dxa"/>
            <w:gridSpan w:val="3"/>
            <w:vMerge w:val="continue"/>
            <w:tcBorders/>
            <w:tcMar>
              <w:top w:w="0" w:type="dxa"/>
              <w:left w:w="0" w:type="dxa"/>
              <w:bottom w:w="0" w:type="dxa"/>
              <w:right w:w="0" w:type="dxa"/>
            </w:tcMar>
            <w:vAlign w:val="center"/>
          </w:tcPr>
          <w:p>
            <w:pPr>
              <w:pStyle w:val="Normal"/>
              <w:bidi w:val="0"/>
              <w:jc w:val="left"/>
              <w:rPr/>
            </w:pPr>
            <w:r>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exclusive of depreciation shown separately below</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(69,403)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(90,867)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(68,635)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21,464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 net</w:t>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income (expense), net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financial instruments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before income tax</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(51,936)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(32,068)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(96,537)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(19,868)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9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(61,018)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(36,641)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(96,305)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(24,377)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revenue increased $4.1 million or 68% to $10.1 million from $6.0 million for the year ended December 31, 2022, driven primarily by $3.7 million in revenue generated from the Space Systems business line that was established during the 2023 fiscal year. The composition of the 2023 revenue included $4.7 million attributable to our Asset Monitoring line of business, $3.7 million attributable to our Space Systems line of business, and $1.6 million attributable to our CaaS line of business.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exclusive of depreciation increased $1.8 million or 54% to $5.1 million for the year ended December 31, 2023 from $3.3 million for the year ended December 31, 2022 primarily related to higher ground station and cloud services costs associated with the larger average size of our constellation of satellites in orbit relative to the prior year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tbl>
      <w:tblPr>
        <w:tblW w:w="10205" w:type="dxa"/>
        <w:jc w:val="left"/>
        <w:tblInd w:w="0" w:type="dxa"/>
        <w:tblLayout w:type="fixed"/>
        <w:tblCellMar>
          <w:top w:w="28" w:type="dxa"/>
          <w:left w:w="28" w:type="dxa"/>
          <w:bottom w:w="28" w:type="dxa"/>
          <w:right w:w="28" w:type="dxa"/>
        </w:tblCellMar>
      </w:tblPr>
      <w:tblGrid>
        <w:gridCol w:w="1454"/>
        <w:gridCol w:w="1246"/>
        <w:gridCol w:w="1254"/>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715"/>
        <w:gridCol w:w="109"/>
        <w:gridCol w:w="109"/>
        <w:gridCol w:w="109"/>
        <w:gridCol w:w="109"/>
        <w:gridCol w:w="245"/>
        <w:gridCol w:w="245"/>
        <w:gridCol w:w="535"/>
      </w:tblGrid>
      <w:tr>
        <w:trPr/>
        <w:tc>
          <w:tcPr>
            <w:tcW w:w="145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vs 2022</w:t>
            </w:r>
          </w:p>
        </w:tc>
      </w:tr>
      <w:tr>
        <w:trPr/>
        <w:tc>
          <w:tcPr>
            <w:tcW w:w="3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General and administrative expenses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Professional fees related to Merger transaction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 wages, and other benefits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 for estimated credit losses on accounts receivable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administrative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23,500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37,191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36,640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(13,691)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$13.7 million or 37% to $23.5 million during the year ended December 31, 2023, as compared to $37.2 million for the year ended December 31, 2022. The decrease was due to decreased costs related to professional fees related to the Merger in January 2022, and lower insurance and other administrative expenses partially offset by increased other professional fees. Insurance decreased due to rate improvements on certain policies.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tbl>
      <w:tblPr>
        <w:tblW w:w="9080" w:type="dxa"/>
        <w:jc w:val="left"/>
        <w:tblInd w:w="0" w:type="dxa"/>
        <w:tblLayout w:type="fixed"/>
        <w:tblCellMar>
          <w:top w:w="28" w:type="dxa"/>
          <w:left w:w="28" w:type="dxa"/>
          <w:bottom w:w="28" w:type="dxa"/>
          <w:right w:w="28" w:type="dxa"/>
        </w:tblCellMar>
      </w:tblPr>
      <w:tblGrid>
        <w:gridCol w:w="1119"/>
        <w:gridCol w:w="982"/>
        <w:gridCol w:w="989"/>
        <w:gridCol w:w="196"/>
        <w:gridCol w:w="661"/>
        <w:gridCol w:w="109"/>
        <w:gridCol w:w="109"/>
        <w:gridCol w:w="109"/>
        <w:gridCol w:w="109"/>
        <w:gridCol w:w="196"/>
        <w:gridCol w:w="661"/>
        <w:gridCol w:w="109"/>
        <w:gridCol w:w="109"/>
        <w:gridCol w:w="109"/>
        <w:gridCol w:w="109"/>
        <w:gridCol w:w="196"/>
        <w:gridCol w:w="571"/>
        <w:gridCol w:w="109"/>
        <w:gridCol w:w="109"/>
        <w:gridCol w:w="109"/>
        <w:gridCol w:w="109"/>
        <w:gridCol w:w="196"/>
        <w:gridCol w:w="631"/>
        <w:gridCol w:w="109"/>
        <w:gridCol w:w="109"/>
        <w:gridCol w:w="109"/>
        <w:gridCol w:w="109"/>
        <w:gridCol w:w="203"/>
        <w:gridCol w:w="203"/>
        <w:gridCol w:w="532"/>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vs 2022</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Research and development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 wages, and other benefits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research and development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10,656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13,055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9,636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(2,399)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R&amp;D expenses decreased $2.4 million or 18% to $10.7 million for the year ended December 31, 2023 from $13.1 million for the year ended December 31, 2022. The decrease was driven primarily by a decrease in other research and development expenses and professional fees, as a result of cash control measures implemented in 2023. Additionally, employee related expenses decreased due to lower average headcount in 2023 as compared to 2022.</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Depreciation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increased $2.9 million or 20% to $17.3 million for the year ended December 31, 2023, as compared to $14.3 million for the year ended December 31, 2022. The increase was due primarily to the higher number of operating satellites in orbit in the first half of 2023 as compared to the amount in orbit in 2022. There were 24 and 26 satellites in orbit as of December 31, 2023 and December 31, 2022, respectively.</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operating expenses, net </w:t>
      </w:r>
    </w:p>
    <w:tbl>
      <w:tblPr>
        <w:tblW w:w="8855" w:type="dxa"/>
        <w:jc w:val="left"/>
        <w:tblInd w:w="0" w:type="dxa"/>
        <w:tblLayout w:type="fixed"/>
        <w:tblCellMar>
          <w:top w:w="28" w:type="dxa"/>
          <w:left w:w="28" w:type="dxa"/>
          <w:bottom w:w="28" w:type="dxa"/>
          <w:right w:w="28" w:type="dxa"/>
        </w:tblCellMar>
      </w:tblPr>
      <w:tblGrid>
        <w:gridCol w:w="1005"/>
        <w:gridCol w:w="882"/>
        <w:gridCol w:w="888"/>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631"/>
        <w:gridCol w:w="109"/>
        <w:gridCol w:w="109"/>
        <w:gridCol w:w="109"/>
        <w:gridCol w:w="109"/>
        <w:gridCol w:w="203"/>
        <w:gridCol w:w="203"/>
        <w:gridCol w:w="532"/>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vs 2022</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operating expenses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Salaries, wages, and other benefits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income and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23,009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29,023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14,002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(6,014)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operating expenses decreased by $6.0 million to $23.0 million for the year ended December 31, 2023, compared to $29.0 million for the year ended December 31, 2022. The decrease was primarily due to lower average headcount in 2023, as a result of workforce reductions in 2023 and late 2022, which contributed to lower salaries, wages, and other benefits and stock-based compensation expense.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Finance income (expense), net</w:t>
      </w:r>
    </w:p>
    <w:tbl>
      <w:tblPr>
        <w:tblW w:w="9439" w:type="dxa"/>
        <w:jc w:val="left"/>
        <w:tblInd w:w="0" w:type="dxa"/>
        <w:tblLayout w:type="fixed"/>
        <w:tblCellMar>
          <w:top w:w="28" w:type="dxa"/>
          <w:left w:w="28" w:type="dxa"/>
          <w:bottom w:w="28" w:type="dxa"/>
          <w:right w:w="28" w:type="dxa"/>
        </w:tblCellMar>
      </w:tblPr>
      <w:tblGrid>
        <w:gridCol w:w="1260"/>
        <w:gridCol w:w="1105"/>
        <w:gridCol w:w="1114"/>
        <w:gridCol w:w="196"/>
        <w:gridCol w:w="571"/>
        <w:gridCol w:w="109"/>
        <w:gridCol w:w="109"/>
        <w:gridCol w:w="109"/>
        <w:gridCol w:w="109"/>
        <w:gridCol w:w="196"/>
        <w:gridCol w:w="631"/>
        <w:gridCol w:w="109"/>
        <w:gridCol w:w="109"/>
        <w:gridCol w:w="109"/>
        <w:gridCol w:w="109"/>
        <w:gridCol w:w="196"/>
        <w:gridCol w:w="631"/>
        <w:gridCol w:w="109"/>
        <w:gridCol w:w="109"/>
        <w:gridCol w:w="109"/>
        <w:gridCol w:w="109"/>
        <w:gridCol w:w="196"/>
        <w:gridCol w:w="571"/>
        <w:gridCol w:w="109"/>
        <w:gridCol w:w="109"/>
        <w:gridCol w:w="109"/>
        <w:gridCol w:w="109"/>
        <w:gridCol w:w="248"/>
        <w:gridCol w:w="248"/>
        <w:gridCol w:w="532"/>
      </w:tblGrid>
      <w:tr>
        <w:trPr/>
        <w:tc>
          <w:tcPr>
            <w:tcW w:w="12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vs 2022</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Finance income (expense), net</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Series X preferred stock dividends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finance costs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1,722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(9,738)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2,374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Finance income was $1.7 million for the year ended December 31, 2023, compared to $0.7 million of expense for the year ended December 31, 2022. The change was due primarily to a $1.5 million decrease in interest expense associated with the retirement of debt and mezzanine equity in connection with the Merger in January 2022 and a $0.7 million increase in interest income on cash and cash equivalents due to increased interest rates.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financial instruments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of financial instruments was related to net gains of $6.5 million for the year ended December 31, 2023, compared to net gains of $58.3 million for the year ended December 31, 2022. The change was primarily driven by the remeasurement to fair value of our warrant and earnout liabilities issued in conjunction with the Merger primarily impacted by changes in our stock price.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income, net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$8.1 million or 713% to $9.3 million for the year ended December 31, 2023, compared to $1.1 million for the year ended December 31, 2022. The increase was primarily due to foreign currency exchange differences and the gain on sale of assets.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 (expense) benefit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increased by $4.5 million or 99% to $9.1 million for the year ended December 31, 2023, compared to $4.6 million for the year ended December 31, 2022. The increase was due primarily to the depletion of net operating losses and financial gains on foreign currency transactions and revaluations in non-U.S. jurisdictions.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supplement our Consolidated Financial Statements, which are prepared and presented in accordance with U.S. GAAP, we use the following non-GAAP measures: EBITDA; Adjusted EBITDA; and Free Cash Flow. The presentation of this financial information is not intended to be considered in isolation or as a substitute for, or superior to, the financial information prepared and presented in accordance with U.S. GAAP.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define Non-GAAP EBITDA as net loss excluding interest, income taxes, depreciation and amortization. We did not incur amortization expense during the years ended December 31, 2023, 2022 and 2021.</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define Non-GAAP Adjusted EBITDA as Non-GAAP EBITDA further adjusted for merger-related transaction costs, changes in the fair value of financial instruments, loss on extinguishment of debt, stock-based compensation and other income (expense). Other income (expense) consists primarily of foreign currency gains and losses.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define Non-GAAP Free Cash Flow as net cash used in operating activities less payments for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these non-GAAP financial measures for financial and operational decision-making and as a means to evaluate period-to-period comparisons. We believe these measures provide analysts, investors and management with helpful information regarding the underlying operating performance of our business, as they provide meaningful supplemental information regarding our performance and liquidity by removing the impact of items that we believe are not reflective of our underlying operating performance. The non-GAAP measures are used by us to evaluate our core operating performance and liquidity on a comparable basis and to make strategic decisions. The non-GAAP measures also facilitate company-to-company operating performance comparisons by backing out potential differences caused by variations such as capital structures, taxation, depreciation, capital expenditures and other non-cash items (i.e., embedded derivatives, debt extinguishment and stock-based compensation) which may vary for different companies for reasons unrelated to operating performance. However, different companies may define these terms differently and accordingly comparisons might not be accurate. There are a number of limitations related to the use of non-GAAP financial measures. We compensate for these limitations by providing specific information regarding the U.S. GAAP amounts excluded from these non-GAAP financial measures, and evaluating these non-GAAP financial measures together with their relevant financial measures in accordance with U.S. GAAP. Non-GAAP measures such as EBITDA, Adjusted EBITDA and Free Cash Flow are not intended to be a substitute for any U.S. GAAP financial measure.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presents our non-GAAP financial measures, along with the most comparable GAAP metric: </w:t>
      </w:r>
    </w:p>
    <w:tbl>
      <w:tblPr>
        <w:tblW w:w="6431" w:type="dxa"/>
        <w:jc w:val="center"/>
        <w:tblInd w:w="0" w:type="dxa"/>
        <w:tblLayout w:type="fixed"/>
        <w:tblCellMar>
          <w:top w:w="28" w:type="dxa"/>
          <w:left w:w="28" w:type="dxa"/>
          <w:bottom w:w="28" w:type="dxa"/>
          <w:right w:w="28" w:type="dxa"/>
        </w:tblCellMar>
      </w:tblPr>
      <w:tblGrid>
        <w:gridCol w:w="961"/>
        <w:gridCol w:w="843"/>
        <w:gridCol w:w="850"/>
        <w:gridCol w:w="196"/>
        <w:gridCol w:w="721"/>
        <w:gridCol w:w="109"/>
        <w:gridCol w:w="109"/>
        <w:gridCol w:w="109"/>
        <w:gridCol w:w="109"/>
        <w:gridCol w:w="196"/>
        <w:gridCol w:w="721"/>
        <w:gridCol w:w="109"/>
        <w:gridCol w:w="109"/>
        <w:gridCol w:w="109"/>
        <w:gridCol w:w="109"/>
        <w:gridCol w:w="196"/>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 (non-GAAP)</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(non-GAAP)</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 (non-GAAP)</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definitions of EBITDA, Adjusted EBITDA and Free Cash Flow and reconciliations to the most directly comparable GAAP measure, see “Non-GAAP Financial Measure Reconciliations” below.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Non-GAAP Financial Measure Reconciliations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included reconciliations from the most directly comparable GAAP metric to Non-GAAP EBITDA, Non-GAAP Adjusted EBITDA and Non-GAAP Free Cash Flow for the years ended December 31, 2023, 2022 and 2021 below.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reconciliation of Non-GAAP EBITDA and Non-GAAP Adjusted EBITDA to our net loss for the periods indicated. </w:t>
      </w:r>
    </w:p>
    <w:tbl>
      <w:tblPr>
        <w:tblW w:w="7361" w:type="dxa"/>
        <w:jc w:val="center"/>
        <w:tblInd w:w="0" w:type="dxa"/>
        <w:tblLayout w:type="fixed"/>
        <w:tblCellMar>
          <w:top w:w="28" w:type="dxa"/>
          <w:left w:w="28" w:type="dxa"/>
          <w:bottom w:w="28" w:type="dxa"/>
          <w:right w:w="28" w:type="dxa"/>
        </w:tblCellMar>
      </w:tblPr>
      <w:tblGrid>
        <w:gridCol w:w="1298"/>
        <w:gridCol w:w="1139"/>
        <w:gridCol w:w="1147"/>
        <w:gridCol w:w="196"/>
        <w:gridCol w:w="721"/>
        <w:gridCol w:w="109"/>
        <w:gridCol w:w="109"/>
        <w:gridCol w:w="109"/>
        <w:gridCol w:w="109"/>
        <w:gridCol w:w="196"/>
        <w:gridCol w:w="721"/>
        <w:gridCol w:w="109"/>
        <w:gridCol w:w="109"/>
        <w:gridCol w:w="109"/>
        <w:gridCol w:w="109"/>
        <w:gridCol w:w="196"/>
        <w:gridCol w:w="72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 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 income tax expense (benefit)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 depreciation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(34,629)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(77,080)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 Merger transaction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Less other income, net</w:t>
            </w:r>
            <w:r>
              <w:rPr>
                <w:color w:val="000000"/>
              </w:rPr>
              <w:t xml:space="preserve"> </w:t>
            </w:r>
            <w:r>
              <w:rPr>
                <w:rFonts w:ascii="Times New Roman;sans-serif" w:hAnsi="Times New Roman;sans-serif"/>
                <w:b w:val="false"/>
                <w:color w:val="000000"/>
                <w:sz w:val="12"/>
              </w:rPr>
              <w:t>(1)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change in fair value of financial instruments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 loss on extinguishment of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 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Adjusted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(44,075)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(56,041)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(31,799)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(1) Other income, net includes foreign exchange gain or loss and other non-operating income and expenses not considered indicative of our ongoing operational performance.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reconciliation of Non-GAAP Free Cash Flow to cash flows used in operating activities for the periods indicated. </w:t>
      </w:r>
    </w:p>
    <w:tbl>
      <w:tblPr>
        <w:tblW w:w="7053" w:type="dxa"/>
        <w:jc w:val="center"/>
        <w:tblInd w:w="0" w:type="dxa"/>
        <w:tblLayout w:type="fixed"/>
        <w:tblCellMar>
          <w:top w:w="28" w:type="dxa"/>
          <w:left w:w="28" w:type="dxa"/>
          <w:bottom w:w="28" w:type="dxa"/>
          <w:right w:w="28" w:type="dxa"/>
        </w:tblCellMar>
      </w:tblPr>
      <w:tblGrid>
        <w:gridCol w:w="1130"/>
        <w:gridCol w:w="991"/>
        <w:gridCol w:w="998"/>
        <w:gridCol w:w="196"/>
        <w:gridCol w:w="721"/>
        <w:gridCol w:w="109"/>
        <w:gridCol w:w="109"/>
        <w:gridCol w:w="109"/>
        <w:gridCol w:w="109"/>
        <w:gridCol w:w="196"/>
        <w:gridCol w:w="721"/>
        <w:gridCol w:w="109"/>
        <w:gridCol w:w="109"/>
        <w:gridCol w:w="109"/>
        <w:gridCol w:w="109"/>
        <w:gridCol w:w="196"/>
        <w:gridCol w:w="721"/>
        <w:gridCol w:w="311"/>
      </w:tblGrid>
      <w:tr>
        <w:trPr/>
        <w:tc>
          <w:tcPr>
            <w:tcW w:w="113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(28,439)</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purchases of property and equipment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(11,233)</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Free Cash Flow</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(64,456)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(95,714)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(39,672)</w:t>
            </w:r>
          </w:p>
        </w:tc>
        <w:tc>
          <w:tcPr>
            <w:tcW w:w="3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B.    Liquidity, Capital Resources and Going Concern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are maintained in highly liquid investments with remaining maturities of 90 days or less at the time of purchase. As of December 31, 2023, we have $23.5 million in cash and cash equivalents on hand and no debt. Since our formation, we have devoted substantial effort and capital resources to the development of our satellite constellation and image technology. As of December 31, 2023, we have an accumulated deficit of $283.8 million, and for the year ended December 31, 2023, we had net cash used in operating activities of $49.6 million.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slower than anticipated revenue growth, we undertook cost and spending control measures in 2023 to maintain an appropriate cash runway. These actions included moderation of capital expenditures and a reduction of certain discretionary spending, as well as a headcount reduction of approximately 110 employees.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12, 2024, the Company, Borrower, and Holder Representative entered into the Note Purchase Agreement with the Purchaser, pursuant to which the Borrower agreed to issue the Secured Convertible Notes in the aggregate principal amount of $30 million to the Purchaser. The net proceeds from the issuance of the Secured Convertible Notes, after deducting transaction fees and other debt issuance costs, was approximately $27.6 million. The Secured Convertible Notes initially bear interest at a rate of SOFR plus 6.50% per annum. subject to an additional 4.0% per annum if certain events of default occur and are continuing. The Secured Convertible Notes are guaranteed by the Company and each of the Company’s material subsidiaries (other than the Borrower), and are secured by substantially all of the Company’s and its subsidiaries’ assets (including all of its intellectual property). The Borrower may issue additional Secured Convertible Notes under the terms thereof, provided the aggregate principal outstanding amount does not exceed $50 million. The Secured Convertible Notes mature on April 12, 2028. See Item 4.B “Business Overview – Recent Developments” for additional information.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Secured Convertible Notes contain certain, restrictive covenants, including restrictions on (i) incurring indebtedness, subject to certain exceptions (including the ability to issue additional Secured Convertible Notes; provided the aggregate principal outstanding amount does not exceed $50 million), (ii) creating certain liens, subject to certain exceptions, (iii) the payment of dividends or other restricted payments, (iv) the sale, transfer or otherwise conveyance of certain assets, subject to asset sale pre-payment described above, and (v) affiliate transactions.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the Company also entered into (i) a side letter with the Purchaser (the “Side Letter”), pursuant to which the Purchaser will be entitled to pre-emptive rights, in order to maintain its as-converted ownership percentage on the same basis as new capital raised and (ii) a registration rights agreement with the Purchaser (the “Registration Rights Agreement”), pursuant to which the Company agreed to register for resale the Class A Ordinary Shares issuable upon conversion of the Secured Convertible Notes.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we primarily rely on our existing cash and cash equivalents balances to fund our business, including capital expenditures, working capital requirements, and anticipated interest payments. Our current and future revenue depends largely on our ability to: 1) utilize our available satellite capacity with new and existing customers and 2) enter into new commercial relationships with new customers. There can be no assurance that we will attain positive cash flow from operations. We have experienced, and may continue to experience, negative cash flows, and if we continue to experience negative cash flows, our existing cash and cash equivalents balances may be reduced, and we may be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reduce capital expenditures, or make other changes to our operating structure, all of which could have a material adverse effect on our business.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assessed our ability to continue as a going concern and evaluated whether there are certain conditions and events that raise substantial doubt about our ability to continue as a going concern using all information available about the future. Given our current liquidity position, including the Secured Convertible Note, and historical operating losses, we believe there is substantial doubt that we can continue as a going concern. Substantial doubt about an entity’s ability to continue as a going concern exists when conditions and events, considered in the aggregate, indicate that it is probable that the entity will be unable to meet its obligations as they become due within one year after the date that the financial statements are issued.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however, prepared the consolidated financial statements included elsewhere in this annual report on a going concern basis, assuming that our financial resources will be sufficient to meet our capital needs over the next twelve months. Accordingly, our financial statements contemplate the realization of assets and satisfaction of liabilities and commitments in the ordinary course of business and do not include adjustments relating to the recoverability and realization of assets and classification of liabilities that might be necessary should we be unable to continue in operation. If we cannot continue as a going concern, adjustments to the carrying values and classification of our assets and liabilities and the reported amounts of income and expenses could be required and could be material. Despite substantial doubt that we will be able to continue as a going concern, we are continuing to take actions to secure sufficient financing (as described below) and thus believe that the application of the going concern assumption for the preparation of the consolidated financial statements is appropriate.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an effort to address our ability to continue as a going concern, we continue to seek and evaluate additional opportunities to raise capital through the issuance of equity or debt, or a combination of both, such as the Secured Convertible Notes. Until such time that we can generate revenue sufficient to achieve profitability, we expect to finance our operations through equity or debt financings, which may not be available to us on the timing needed, on terms that the Company deems to be favorable or at all. To the extent that we raise additional capital through the sale of equity or convertible debt securities, the ownership interest of our stockholders may be diluted, and the terms of these securities may include liquidation or other preferences that adversely affect the rights of common stockholders. Debt financing and equity financing, if available, may involve agreements that include covenants limiting or restricting our ability to take specific actions, such as incurring additional debt, making acquisitions or capital expenditures or declaring dividends. We believe that the net proceeds we receive from any such transactions, together with cash flows from operations of the business, will be sufficient to continue as a going concern. However, if we are unable to obtain sufficient financial resources, our business, financial condition and results of operations will be materially and adversely affected. There can be no assurance that we will be able to obtain the needed financing on acceptable terms or at all. See “Risk Factors—There is substantial doubt about our ability to continue as a going concern” for additional information.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an early-stage growth company in the early stage of development, and subject to a number of risks associated with emerging, technology-oriented companies with a limited operating history, including, but not limited to, dependence on key individuals, a developing business model, key customers, initial and continued market acceptance of our services and protection of our proprietary technology. Our sales efforts involve considerable time and expense, and our sales cycle is long and unpredictable. We also have risks from competition from substitute products and services. All of these risks, as well as the risks set forth in Item 3. Key Information, D. Risk Factors included in this report, could have an adverse impact on our business and financial prospects and cause us to seek additional financing to fund future operations.</w:t>
      </w: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 xml:space="preserve">Outlook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expect that our revenue for 2024 will largely be dependent on closing opportunities within our Space Systems line of business. As we look to 2024 and beyond, we are focused on executing on our strategic realignment and growth opportunities in the U.S. market. We continue to expect our revenue will be driven by our further growth in Space Systems, Asset Monitoring, and Constellation-as-a-Service. We anticipate that Space Systems will contribute considerable per unit cash flow and strong gross margin, although that revenue may be heavily weighted to the second half of the year.</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Our ability to accurately forecast annual revenue and profitability relies on the speed and decision-making of our large commercial partners. This sales cycle is often long and subject to many variables beyond our control.</w:t>
      </w:r>
      <w:r>
        <w:rPr>
          <w:color w:val="000000"/>
        </w:rPr>
        <w:t xml:space="preserve"> </w:t>
      </w:r>
      <w:r>
        <w:rPr>
          <w:rFonts w:ascii="Times New Roman;sans-serif" w:hAnsi="Times New Roman;sans-serif"/>
          <w:b w:val="false"/>
          <w:color w:val="000000"/>
          <w:sz w:val="20"/>
        </w:rPr>
        <w:t>For these reasons, the Company is withdrawing its previously communicated guidance.</w:t>
      </w:r>
      <w:r>
        <w:rPr>
          <w:color w:val="000000"/>
        </w:rPr>
        <w:t xml:space="preserve"> </w:t>
      </w:r>
      <w:r>
        <w:rPr>
          <w:rFonts w:ascii="Times New Roman;sans-serif" w:hAnsi="Times New Roman;sans-serif"/>
          <w:b w:val="false"/>
          <w:color w:val="000000"/>
          <w:sz w:val="20"/>
        </w:rPr>
        <w:t xml:space="preserve">We have no current plans to publish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guidance in the near term, but look forward to providing periodic updates as we achieve strategic and commercial milestones.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results are subject to substantial uncertainty. Our future results are inherently unpredictable and may be materially affected by many factors, such as our long and unpredictable sales cycles, which involve considerable time and expense, and our ability to, among other things, implement appropriate sales strategies, including educating potential customers about the technical capabilities and value of our satellites and product offerings, acquire sufficient quantities of third-party components and supplies, recruit and maintain adequate staffing, implement effective supplier strategy and supply chain management and adopt manufacturing and quality control processes. Factors outside our control, such as changes in global economic and geopolitical conditions, inflation, interest rates, financial institution disruptions, supply chain constraints and other macroeconomic factors may also have a significant impact. All of these risks, as well as the risks set forth under Item 3D. “Risk Factors,” could materially and adversely impact our business and financial prospects and impair our ability to execute our business plan and achieve our revenue targets.</w:t>
      </w: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 xml:space="preserve">Cash Flows Summary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Presented below is a summary of our operating, investing and financing cash flows: </w:t>
      </w:r>
    </w:p>
    <w:tbl>
      <w:tblPr>
        <w:tblW w:w="8186" w:type="dxa"/>
        <w:jc w:val="center"/>
        <w:tblInd w:w="0" w:type="dxa"/>
        <w:tblLayout w:type="fixed"/>
        <w:tblCellMar>
          <w:top w:w="28" w:type="dxa"/>
          <w:left w:w="28" w:type="dxa"/>
          <w:bottom w:w="28" w:type="dxa"/>
          <w:right w:w="28" w:type="dxa"/>
        </w:tblCellMar>
      </w:tblPr>
      <w:tblGrid>
        <w:gridCol w:w="1597"/>
        <w:gridCol w:w="1402"/>
        <w:gridCol w:w="1410"/>
        <w:gridCol w:w="196"/>
        <w:gridCol w:w="721"/>
        <w:gridCol w:w="109"/>
        <w:gridCol w:w="109"/>
        <w:gridCol w:w="109"/>
        <w:gridCol w:w="109"/>
        <w:gridCol w:w="196"/>
        <w:gridCol w:w="721"/>
        <w:gridCol w:w="109"/>
        <w:gridCol w:w="109"/>
        <w:gridCol w:w="109"/>
        <w:gridCol w:w="109"/>
        <w:gridCol w:w="196"/>
        <w:gridCol w:w="721"/>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flows: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investing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provided by financing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change in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(64,089)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65,022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(11,033)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Flows Used in Operating Activities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cash flows used in operating activities to date have been primarily comprised of costs and expenses related to development of our products, payroll, fluctuations in accounts payable and other current assets and liabilities. As we continue to expand our commercial operations we anticipate our cash used in operating activities will remain elevated until we begin to generate material cash flows from the business.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used in operating activities are as follows: </w:t>
      </w:r>
    </w:p>
    <w:tbl>
      <w:tblPr>
        <w:tblW w:w="7917" w:type="dxa"/>
        <w:jc w:val="center"/>
        <w:tblInd w:w="0" w:type="dxa"/>
        <w:tblLayout w:type="fixed"/>
        <w:tblCellMar>
          <w:top w:w="28" w:type="dxa"/>
          <w:left w:w="28" w:type="dxa"/>
          <w:bottom w:w="28" w:type="dxa"/>
          <w:right w:w="28" w:type="dxa"/>
        </w:tblCellMar>
      </w:tblPr>
      <w:tblGrid>
        <w:gridCol w:w="1499"/>
        <w:gridCol w:w="1318"/>
        <w:gridCol w:w="1323"/>
        <w:gridCol w:w="196"/>
        <w:gridCol w:w="721"/>
        <w:gridCol w:w="109"/>
        <w:gridCol w:w="109"/>
        <w:gridCol w:w="109"/>
        <w:gridCol w:w="109"/>
        <w:gridCol w:w="196"/>
        <w:gridCol w:w="721"/>
        <w:gridCol w:w="109"/>
        <w:gridCol w:w="109"/>
        <w:gridCol w:w="109"/>
        <w:gridCol w:w="109"/>
        <w:gridCol w:w="196"/>
        <w:gridCol w:w="721"/>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of US dollars) </w:t>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for the impact of non-cash items </w:t>
            </w:r>
            <w:r>
              <w:rPr>
                <w:rFonts w:ascii="Times New Roman;sans-serif" w:hAnsi="Times New Roman;sans-serif"/>
                <w:b w:val="false"/>
                <w:color w:val="000000"/>
                <w:sz w:val="13"/>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adjusted for the impact of non-cash items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Accounts receivable</w:t>
            </w:r>
            <w:r>
              <w:rPr>
                <w:rFonts w:ascii="Times New Roman;sans-serif" w:hAnsi="Times New Roman;sans-serif"/>
                <w:b w:val="false"/>
                <w:color w:val="000000"/>
                <w:sz w:val="13"/>
              </w:rPr>
              <w:t>(2)</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Prepaid expenses and other current assets</w:t>
            </w:r>
            <w:r>
              <w:rPr>
                <w:rFonts w:ascii="Times New Roman;sans-serif" w:hAnsi="Times New Roman;sans-serif"/>
                <w:b w:val="false"/>
                <w:color w:val="000000"/>
                <w:sz w:val="13"/>
              </w:rPr>
              <w:t>(3)</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Accounts payable</w:t>
            </w:r>
            <w:r>
              <w:rPr>
                <w:rFonts w:ascii="Times New Roman;sans-serif" w:hAnsi="Times New Roman;sans-serif"/>
                <w:b w:val="false"/>
                <w:color w:val="000000"/>
                <w:sz w:val="13"/>
              </w:rPr>
              <w:t>(4)</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(5)</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(49,571)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(68,462)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(28,439)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(1)Includes items such as depreciation, changes in the fair value of financial instruments, interest expense, income tax, stock-based compensation expense, expense for estimated credit losses on accounts receivable, loss on debt extinguishment, changes in foreign currency and others.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change is primarily due to higher accounts receivable from our commercial space technology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(3)The change is primarily due to higher prepaid expenses from software licenses and higher advances to suppliers.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change is primarily due to the timing of payments.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change is primarily due to timing of payments, net of an increase in contract liabilities for new revenue contract.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Flows Used in Investing Activities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used in investing activities to date have been primarily comprised of purchases of satellite components and other property and equipment. Investing activities have increased substantially as we ramped up satellite production activity and factory development in connection with expanding our production capacity.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$14.4 million for the year ended December 31, 2023, compared to $30.9 million for the year ended December 31, 2022. The decrease in cash used in investing activities was primarily driven by a lower number of satellites launched during the year ended December 31, 2023 compared to the year ended December 31, 2022 as a result of cash control measures implemented in 2023.</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Flows (used in) Provided by Financing Activities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by financing activities was $83 thousand for the year ended December 31, 2023 compared to net cash provided of $164.3 million for the year ended December 31, 2022, which resulted primarily from the consummation of the Merger transactions, as discussed above.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17 (Debt) to the Consolidated Financial Statements for a discussion of our debt at December 31, 2021 and prior to the Merger. As of December 31, 2023 and 2022, we had no outstanding debt.</w:t>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C.    Research and Development, Patents and Licenses Etc.</w:t>
      </w:r>
    </w:p>
    <w:p>
      <w:pPr>
        <w:pStyle w:val="TextBody"/>
        <w:bidi w:val="0"/>
        <w:spacing w:lineRule="auto" w:line="288" w:before="120" w:after="283"/>
        <w:jc w:val="left"/>
        <w:rPr/>
      </w:pPr>
      <w:r>
        <w:rPr>
          <w:rFonts w:ascii="Times New Roman;sans-serif" w:hAnsi="Times New Roman;sans-serif"/>
          <w:b w:val="false"/>
          <w:color w:val="000000"/>
          <w:sz w:val="20"/>
        </w:rPr>
        <w:t>See Item 4 “</w:t>
      </w:r>
      <w:r>
        <w:rPr>
          <w:rFonts w:ascii="Times New Roman;sans-serif" w:hAnsi="Times New Roman;sans-serif"/>
          <w:b w:val="false"/>
          <w:i/>
          <w:color w:val="000000"/>
          <w:sz w:val="20"/>
        </w:rPr>
        <w:t>Information on the Company – Business Overview – Satellites and Technology.”</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D.    Trend Information</w:t>
      </w:r>
    </w:p>
    <w:p>
      <w:pPr>
        <w:pStyle w:val="TextBody"/>
        <w:bidi w:val="0"/>
        <w:spacing w:lineRule="auto" w:line="288" w:before="120" w:after="283"/>
        <w:jc w:val="left"/>
        <w:rPr/>
      </w:pPr>
      <w:r>
        <w:rPr>
          <w:rFonts w:ascii="Times New Roman;sans-serif" w:hAnsi="Times New Roman;sans-serif"/>
          <w:b w:val="false"/>
          <w:color w:val="000000"/>
          <w:sz w:val="20"/>
        </w:rPr>
        <w:t>See Item 5.A “</w:t>
      </w:r>
      <w:r>
        <w:rPr>
          <w:rFonts w:ascii="Times New Roman;sans-serif" w:hAnsi="Times New Roman;sans-serif"/>
          <w:b w:val="false"/>
          <w:i/>
          <w:color w:val="000000"/>
          <w:sz w:val="20"/>
        </w:rPr>
        <w:t>Key Factors Affecting Operating Results</w:t>
      </w:r>
      <w:r>
        <w:rPr>
          <w:rFonts w:ascii="Times New Roman;sans-serif" w:hAnsi="Times New Roman;sans-serif"/>
          <w:b w:val="false"/>
          <w:color w:val="000000"/>
          <w:sz w:val="20"/>
        </w:rPr>
        <w:t xml:space="preserve">.”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 xml:space="preserve">E.    Critical Accounting Estimates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have been prepared in accordance with U.S. GAAP. The preparation of these financial statements requires us to make estimates and assumptions that affect the reported amounts of assets, liabilities, revenues and expenses and the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Actual results may differ from these estimates under different assumptions or conditions. We believe that the accounting estimates discussed below are critical to understanding our historical and future performance, as these estimates relate to the more significant areas involving a greater degree of management’s judgment and complexity.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underlying the valuations represent our best estimates, which involve inherent uncertainties and the application of management’s judgment. As a result, if we used significantly different assumptions or estimates, the stock-based compensation expense for prior periods could have been materially different.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recognition and measurement of revenue requires the use of judgments and estimates. Specifically, judgment is used in interpreting complex arrangements with nonstandard terms and conditions and determining when all criteria for revenue recognition have been met. We primarily generate revenue from the sale of imagery and related services. Identifying the performance obligations contained in a contract, determining transaction price, allocating transaction price, and determining when performance obligations are satisfied can require the application of significant judgment.</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Identifying the performance obligations in a contract</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execute contracts for a single promise or multiple promises. Specifically, our contracts may include multiple promises which are accounted for as separate performance obligations. Significant judgment is required in determining performance obligations, and these decisions could change the amount of revenue and profit or loss recorded in each period.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Determination of and Allocation of Transaction Price</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estimates any variable consideration, and whether the transaction price is constrained, upon execution of each contract. We may adjust the transaction price over time for any estimated constraints that become probable based on service level provisions within some of our customer purchase orders.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 our contracts with customers contain multiple deliverables, we allocate the total arrangement consideration to each performance obligation representative of their determined selling prices. The determined selling price is the price at which we would sell a promised product or service separately to a customer. Judgment is required to determine the selling price for each distinct performance obligation. We determine the selling price by considering our overall pricing practices and market conditions, including our discounting practices, the size and volume of our transactions, the customer demographic, price lists, historical sales, contract prices and customer relationships.</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Impairment of Assets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our assets are reviewed at each reporting date to determine whether there is an indication of impairment in the value of the assets. Most of our fixed assets are satellites, but we also have tools, equipment, furniture and fixtures, computers and leasehold improvements. We do not own any buildings or land.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performed an impairment test as of December 31, 2023, 2022, and 2021 due to our net losses for the related periods. We concluded that our asset group is not impaired as our test concluded that the expected future undiscounted cash flows exceeded the carrying value of the asset group.</w:t>
      </w:r>
    </w:p>
    <w:p>
      <w:pPr>
        <w:pStyle w:val="TextBody"/>
        <w:bidi w:val="0"/>
        <w:spacing w:lineRule="auto" w:line="25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Estimates of future cash flows are highly subjective judgments using Level 3 inputs based on management’s experience and knowledge of our operations. These estimates can be significantly impacted by many factors, including changes in global economic conditions, operating costs, obsolescence of technology and competition.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our estimates or underlying assumptions change in the future, we may be required to record impairment charges. If the recoverable amount of an asset group is less than its carrying amount, the carrying amount of the asset group would be reduced to its recoverable amount. That reduction is an impairment loss that would be recognized in the Consolidated Statements of Operations and Comprehensive Loss.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 Liabilities</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We generally classify warrants for the purchase of shares of our common stock as liabilities on our consolidated balance sheets unless the warrants meet certain specific criteria that require the warrants to be classified within stockholders’ deficit. Those warrants accounted for as liabilities are freestanding financial instruments that may require us to transfer assets upon exercise. The warrant liability is initially recorded at fair value upon the date of issuance of each warrant and is subsequently remeasured to fair value at each reporting date. </w:t>
      </w:r>
      <w:r>
        <w:rPr>
          <w:rFonts w:ascii="Times New Roman;sans-serif" w:hAnsi="Times New Roman;sans-serif"/>
          <w:b w:val="false"/>
          <w:color w:val="000000"/>
          <w:sz w:val="20"/>
          <w:shd w:fill="FFFFFF" w:val="clear"/>
        </w:rPr>
        <w:t>The private warrants are categorized as Level 3 fair value measurement using the Black-Scholes model with inputs that include current price of our common stock, exercise price, volatility, and risk-free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Earnout Liabilities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In connection with the Reverse Recapitalization (see Note 4 (Reverse Recapitalization) to the Consolidated Financial Statements) and pursuant to the Merger Agreement, eligible Satellogic equity holders are entitled to receive additional shares of our Common Stock upon the achievement of certain e</w:t>
      </w:r>
      <w:r>
        <w:rPr>
          <w:rFonts w:ascii="Times New Roman;sans-serif" w:hAnsi="Times New Roman;sans-serif"/>
          <w:b w:val="false"/>
          <w:color w:val="000000"/>
          <w:sz w:val="20"/>
          <w:shd w:fill="FFFFFF" w:val="clear"/>
        </w:rPr>
        <w:t>arnout triggering events. In accordance with</w:t>
      </w:r>
      <w:r>
        <w:rPr>
          <w:color w:val="000000"/>
        </w:rPr>
        <w:t xml:space="preserve"> </w:t>
      </w:r>
      <w:r>
        <w:rPr>
          <w:rFonts w:ascii="Times New Roman;sans-serif" w:hAnsi="Times New Roman;sans-serif"/>
          <w:b w:val="false"/>
          <w:color w:val="000000"/>
          <w:sz w:val="20"/>
        </w:rPr>
        <w:t>ASC 815-40, the earnout shares are not indexed to the Common Stock and therefore are accounted for as a liability at the Reverse Recapitalization date and subsequently remeasured at each reporting date with changes in fair value recorded as a component of Changes in Fair Value of Financial Instruments in the consolidated statements of operations. The earnout liabilities are categorized as a Level 3 fair value measuremen</w:t>
      </w:r>
      <w:r>
        <w:rPr>
          <w:rFonts w:ascii="Times New Roman;sans-serif" w:hAnsi="Times New Roman;sans-serif"/>
          <w:b w:val="false"/>
          <w:color w:val="000000"/>
          <w:sz w:val="20"/>
          <w:shd w:fill="FFFFFF" w:val="clear"/>
        </w:rPr>
        <w:t>t using the Monte Carlo model.</w:t>
      </w:r>
      <w:r>
        <w:rPr>
          <w:color w:val="000000"/>
        </w:rPr>
        <w:t xml:space="preserve"> </w:t>
      </w:r>
      <w:r>
        <w:rPr>
          <w:rFonts w:ascii="Times New Roman;sans-serif" w:hAnsi="Times New Roman;sans-serif"/>
          <w:b w:val="false"/>
          <w:color w:val="000000"/>
          <w:sz w:val="20"/>
        </w:rPr>
        <w:t>The assumptions utilized in the calculation are based on the achievement of certain stock price milestones, including the current price of our common stock, expected volatility, and risk-free rate.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fair value of our convertible notes, the Cantor Loan and redeemable Series X preferred stock (before bifurcation of the embedded derivatives) and the subsequent measurement of the embedded derivatives was calculated using an internal valuation model where many of the input parameters are not observable. The assumptions underlying the valuations represent our best estimates, which involve inherent uncertainties and the application of management’s judgment. As a result, if we used significantly different assumptions or estimates, the change in the fair value of the convertible notes, the Cantor Loan, the redeemable Series X preferred stock and embedded derivatives could have been materially different.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our outstanding convertible notes, the Cantor Loan and redeemable Series X preferred stock were converted into Class A ordinary shares in connection with the closing of the Merger. </w:t>
      </w:r>
    </w:p>
    <w:p>
      <w:pPr>
        <w:pStyle w:val="TextBody"/>
        <w:bidi w:val="0"/>
        <w:spacing w:lineRule="auto" w:line="256"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income tax expense, deferred tax assets and liabilities and reserves for uncertain tax positions reflect management's best estimate of taxes to be paid based upon our income, statutory tax rates and tax planning opportunities in jurisdictions in which we operate. Tax laws are complex and subject to different interpretations by the taxpayer and respective governmental taxing authorities. Significant judgment is required in determining our tax expense and in evaluating our tax positions, including evaluating uncertainties. We review our tax positions semi-annually and adjust the balances as new information becomes available.</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deferred tax assets to the extent the Company believes these assets will more-likely-than-not be realized. Estimates of the adequacy of future expected taxable income from all sources, including the reversal of taxable temporary differences, long- and short-range business plans and feasible and prudent tax planning strategies are considered to determine whether the deferred tax asset will be available for future utilization, prior to expiration. If the Company determines that it will not be able to utilize a deferred income tax asset whether due to expiration or a lack of income, a valuation allowance is recorded. If, in the future, sufficient positive evidence arises indicating that all or a portion of the deferred tax asset may be used, based upon the more-likely-than-not standard for realization, the valuation allowance would be reduced in the period that such evidence of realization is reached.</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Emerging Growth Company Status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as defined in Section 2(a) of the Securities Act and have elected to take advantage of the benefits of the extended transition period for new or revised financial accounting standards. We expect to remain an emerging growth company at least through the end of the 2024 fiscal year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emerging growth company, we are not required to, among other things, (i) provide an auditor’s attestation report on our system of internal controls over financial reporting pursuant to Section 404(b) of the Sarbanes-Oxley Act, and (ii) comply with any requirement that may be adopted by the PCAOB regarding mandatory audit firm rotation or a supplement to the auditor’s report providing additional information about the audit and the financial statements (auditor discussion and analysis).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also rely on certain reduced reporting and other requirements that are otherwise generally applicable to public companies.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3 (Recent Accounting Pronouncements) in the Consolidated Financial Statements included in this Report for more information about recent accounting pronouncements, the timing of their adoption and our assessment, to the extent we have made such an assessment, of their potential impact on our financial condition and our results of operations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6.    DIRECTORS, SENIOR MANAGEMENT AND EMPLOYEES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A.    Directors and Executive Officers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Board of Directors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names and ages of our current directors as of March 15, 2024 are listed in the table below: </w:t>
      </w:r>
    </w:p>
    <w:tbl>
      <w:tblPr>
        <w:tblW w:w="9062" w:type="dxa"/>
        <w:jc w:val="center"/>
        <w:tblInd w:w="0" w:type="dxa"/>
        <w:tblLayout w:type="fixed"/>
        <w:tblCellMar>
          <w:top w:w="28" w:type="dxa"/>
          <w:left w:w="28" w:type="dxa"/>
          <w:bottom w:w="28" w:type="dxa"/>
          <w:right w:w="28" w:type="dxa"/>
        </w:tblCellMar>
      </w:tblPr>
      <w:tblGrid>
        <w:gridCol w:w="689"/>
        <w:gridCol w:w="604"/>
        <w:gridCol w:w="612"/>
        <w:gridCol w:w="130"/>
        <w:gridCol w:w="130"/>
        <w:gridCol w:w="131"/>
        <w:gridCol w:w="160"/>
        <w:gridCol w:w="160"/>
        <w:gridCol w:w="161"/>
        <w:gridCol w:w="1744"/>
        <w:gridCol w:w="1744"/>
        <w:gridCol w:w="1761"/>
        <w:gridCol w:w="303"/>
        <w:gridCol w:w="303"/>
        <w:gridCol w:w="430"/>
      </w:tblGrid>
      <w:tr>
        <w:trPr/>
        <w:tc>
          <w:tcPr>
            <w:tcW w:w="6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Committees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Independent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Emiliano Kargieman</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Ted Wang</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Audit; Compensation (Chairperson); Nominating (Chairperson)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Marcos Galperin</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Halverson</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Audit (Chairperson); Finance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Howard Lutnick</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T. Mnuchin</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(Chairperson); Compensation; Nominating </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Dunford</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Peter Thomas Killalea</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Audit; Compensation; Nominating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Miguel Gutiérrez</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The term for the Class I, II, and III directors will expire in 2025, 2026, and 2024, respectively</w:t>
      </w:r>
      <w:r>
        <w:rPr>
          <w:rFonts w:ascii="Times New Roman;sans-serif" w:hAnsi="Times New Roman;sans-serif"/>
          <w:b w:val="false"/>
          <w:i/>
          <w:color w:val="000000"/>
          <w:sz w:val="20"/>
        </w:rPr>
        <w:t>.</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Emiliano Kargieman</w:t>
      </w:r>
      <w:r>
        <w:rPr>
          <w:rFonts w:ascii="Times New Roman;sans-serif" w:hAnsi="Times New Roman;sans-serif"/>
          <w:b w:val="false"/>
          <w:color w:val="000000"/>
          <w:sz w:val="20"/>
        </w:rPr>
        <w:t xml:space="preserve">. Mr. Kargieman serves as our Chief Executive Officer. Mr. Kargieman founded Nettar and has served as its Chief Executive Officer since July 2010. Prior to founding Nettar, Mr. Kargieman founded Core Security Technologies, which developed automated penetration testing software, and co-founded and directed Aconcagua Ventures, which focused on investing and developing high-tech startups in Latin America to be global businesses. Mr. Kargieman has also founded various other technology startups, including GarageLab, a problem-solving laboratory based on an innovative multidisciplinary approach involving science, technology, art, and business. He has independently consulted for several corporations and government agencies and served as a Member of the Special Projects Group at the World Bank. Mr. Kargieman has a formal background in number theory and philosophy. </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Ted Wang</w:t>
      </w:r>
      <w:r>
        <w:rPr>
          <w:rFonts w:ascii="Times New Roman;sans-serif" w:hAnsi="Times New Roman;sans-serif"/>
          <w:b w:val="false"/>
          <w:color w:val="000000"/>
          <w:sz w:val="20"/>
        </w:rPr>
        <w:t>. Mr. Wang is a partner at Cowboy Ventures, a prominent venture capital fund located in Palo Alto, California, focused on enterprise and consumer-oriented software-driven companies since February 2017, an executive coach, and a member of Satellogic’s board of directors. Ted is also a board member of several other companies including companies providing robotic automation software, developer operations software and software applying artificial intelligence, such as, Drata, Vic.ai, SVT Robotics and Contra. Mr. Wang is also a partner at Iconiq Growth, a growth equity firm.</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joining Cowboy, Ted was a partner at the law firm of Fenwick &amp; West LLP where he was recognized as one of the country’s leading technology lawyers, focusing his practice on emerging technology companies from October 2006 to January 2017. During that time, Ted worked with many of the top technology companies of the era, including Facebook,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Twitter, Dropbox, Square, Gusto and Zuora. From years at the boardrooms of these companies, Ted has learned from the best and the brightest founders, investors, and outside board members.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Wang has a bachelor’s degree in history and Latin from Duke University and a J.D. from the University of Virginia School of Law.</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Marcos Galperin.</w:t>
      </w:r>
      <w:r>
        <w:rPr>
          <w:color w:val="000000"/>
        </w:rPr>
        <w:t xml:space="preserve"> </w:t>
      </w:r>
      <w:r>
        <w:rPr>
          <w:rFonts w:ascii="Times New Roman;sans-serif" w:hAnsi="Times New Roman;sans-serif"/>
          <w:b w:val="false"/>
          <w:color w:val="000000"/>
          <w:sz w:val="20"/>
        </w:rPr>
        <w:t xml:space="preserve">Mr. Galperin is the Chairman, President, and CEO of MercadoLibre, the largest e-commerce website in Latin America, which he co-founded in 1999. He also served as a director of Globant S.A. until his resignation in April 2020. Mr. Galperin also worked in the fixed income department of J.P. Morgan Securities Inc. in New York from June to August 1998 and at YPF S.A., an integrated oil company, in Buenos Aires, Argentina, where he was a Futures and Options Associate and managed YPF’s currency and oil derivatives program from 1994 to 1997. Mr. Galperin serves as a board member at Onapsis Inc. and Endeavor. Mr. Galperin received an MBA from Stanford University and graduated with honors from the Wharton School of the University of Pennsylvania. </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Bradley Halverson</w:t>
      </w:r>
      <w:r>
        <w:rPr>
          <w:rFonts w:ascii="Times New Roman;sans-serif" w:hAnsi="Times New Roman;sans-serif"/>
          <w:b w:val="false"/>
          <w:color w:val="000000"/>
          <w:sz w:val="20"/>
        </w:rPr>
        <w:t>. Mr. Halverson previously served as Group President and Chief Financial Officer of Caterpillar Inc. (NYSE: CAT), a Fortune 100 company and the world’s leading manufacturer of construction and mining equipment, diesel and gas engines, turbines, and locomotives. He joined Caterpillar in 1988, serving in various roles of increasing responsibility including leading the Caterpillar Financial Business unit as well as the Human Resources, Global Supply Chain and Information Services Functions. Brad retired from a 30+ year career at Caterpillar where he served as CFO between 2013 and 2018. Under his leadership, the company underwent a significant restructuring, emerging with a strong balance sheet and financial metrics. Prior to serving as CFO, Brad had served in various roles rising from a Staff Account to Vice President of Financial Services Division, prior to being named CFO.</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Halverson currently serves on the board of Sysco Corporation (NYSE: SYY), where he is the Audit Committee Chairman, and Lear Corporation (NYSE: LEA) and Constellation Energy Corporation. He also previously served as a director for the U.S. Chamber of Commerce. Mr. Halverson attended the University of Illinois, where he received a Bachelor of Science degree in Accounting and an Executive Masters of Business Administration. He is a Certified Public Accountant and member of the American Institute of Certified Public Accountants. He previously served as chair of Easter Seals in Peoria and is on the board of the Easter Seals Foundation.</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Howard W. Lutnick</w:t>
      </w:r>
      <w:r>
        <w:rPr>
          <w:rFonts w:ascii="Times New Roman;sans-serif" w:hAnsi="Times New Roman;sans-serif"/>
          <w:b w:val="false"/>
          <w:color w:val="000000"/>
          <w:sz w:val="20"/>
        </w:rPr>
        <w:t>. Mr. Lutnick is the Chairman, and Chief Executive Officer of Cantor Fitzgerald, L.P. Mr. Lutnick joined Cantor in 1983 and has served as President and Chief Executive Officer of Cantor since 1992 and as Chairman since 1996. Mr. Lutnick’s company, CF Group Management, Inc., is the managing general partner of Cantor.</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Lutnick is also the Chairman of the Board of Directors of BGC Group and its Chief Executive Officer, positions in which he has served from June 1999 to the present. In addition, Mr. Lutnick has served as Chairman of Newmark Group, Inc. since 2016. Mr. Lutnick served as the Chairman and Chief Executive Officer of CF Acquisition Corp. V from April 2020 until consummation of the Merger and has served as a director of Satellogic since January 2022. Mr. Lutnick served as the Chairman and Chief Executive Officer of CF Finance Acquisition Corp., from October 2015 until consummation of its business combination with GCM Grosvenor, Inc. in November 2020, CF Finance Acquisition Corp. II, from September 2019 until consummation of its business combination with View, Inc. in March 2021, and CF Finance Acquisition Corp. III, from March 2016 until consummation of its business combination with AEye, Inc. in August 2021, CF Acquisition Corp. VI, from April 2020 until consummation of its business combination with Rumble in September 2022. Mr. Lutnick also serves as the Chairman and Chief Executive Officer of CF Acquisition Corp. IV since January 2020, CF Acquisition Corp. VII since July 2020 and CF Acquisition Corp. VIII since July 2020.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Lutnick is a member of the Board of Directors of the Horace Mann School, the Board of Directors of the National September 11th Memorial &amp; Museum, the Board of Directors of the Partnership for New York City, and the Board of Overseers of The Hoover Institution. In addition, Mr. Lutnick has served as Chairman and Chief Executive Officer of Cantor Fitzgerald Income Trust, Inc. (formerly known as Rodin Global Property Trust, Inc.) since February 2017.</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Steven T. Mnuchin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Former Secretary Steven T. Mnuchin serves as the Founder and Managing Partner of Liberty Strategic Capital and chairs the firm’s Investment Committee. Liberty Strategic Capital is a Washington, D.C.-based private equity firm focused on strategic investments in technology, financial services and fintech, and new forms of content.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Former Secretary Mnuchin currently serves on the boards of directors of Liberty Strategic Capital portfolio companies New York Community Bancorp, Inc. (since 2024), Zimperium, Inc. (since 2022) and Cybereason Inc. (since 2021), and previously served on the boards of directors of Contrast Security, Inc. (2022-23) and BlueVoyant, Inc. (2022-23). Former Secretary Mnuchin has also served on the board of directors of New York Community Bancorp, Inc. since 2024.</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Prior to founding Liberty, Mr. Mnuchin served as the 77th Secretary of the Treasury from February 2017 through January 2021. As Secretary of the Treasury, Mr. Mnuchin was responsible for leading the U.S. Treasury, whose mission is to maintain a strong economy, foster economic growth, and create job opportunities by promoting the conditions that enable prosperity at home and abroad. He was also responsible for strengthening national security by combating economic threats and protecting the U.S. financial system, as well as managing the U.S. Government’s finances. Mr. Mnuchin also oversaw cybersecurity for the financial services sector and all U.S. Treasury bureaus, including the IRS.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Former Secretary Mnuchin played a pivotal role in advancing the Administration’s economic agenda, including the passage and implementation of the Tax Cuts and JOBS Act and the CARES Act. He also led the U.S. Treasury Department’s regulatory reform efforts. Former Secretary Mnuchin was chair of the Committee on Foreign Investment in the United States (CFIUS) and was a member of the National Security Council. He was responsible for using economic tools to combat terrorist financing and other threats to the United States and its allies.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Prior to his confirmation, he served as Founder, Chairman, and Chief Executive Officer of Dune Capital Management. He founded OneWest Bank Group LLC and served as its Chairman and Chief Executive Officer until its sale to CIT Group Inc. Earlier in his career, former Secretary Mnuchin worked at The Goldman Sachs Group, Inc., where he was a Partner and served as Chief Information Officer, with responsibility for the firm’s global information and technology strategy and operations. He has extensive experience in global financial markets and investments.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Former Secretary Mnuchin is committed to philanthropic activities and previously served as a member of the boards of directors of the Museum of Contemporary Art Los Angeles (MOCA), the Whitney Museum of Art, the Hirshhorn Museum and Sculpture Garden on the National Mall, the UCLA Health System, the New York Presbyterian Hospital, and the Los Angeles Police Foundation. He was born and raised in New York City and holds a B.A. from Yale University.</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Joseph F. Dunford, Jr</w:t>
      </w:r>
      <w:r>
        <w:rPr>
          <w:rFonts w:ascii="Times New Roman;sans-serif" w:hAnsi="Times New Roman;sans-serif"/>
          <w:b w:val="false"/>
          <w:color w:val="000000"/>
          <w:sz w:val="20"/>
        </w:rPr>
        <w:t>. General Joseph Dunford serves as a Senior Managing Director at Liberty Strategic Capital and as a member of the firm’s Investment Committee. He also serves on the board of directors of Liberty Strategic Capital portfolio company Zimperium, Inc. (since 2022). Prior to joining Liberty, he previously served as the 19th Chairman of the Joint Chiefs of Staff, the United States’ highest-ranking military officer. In this role, he was the senior ranking U.S. officer and principal military advisor to the President, Secretary of Defense, and National Security Council from 2015 to 2019.</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Dunford was commissioned in 1977. He served as an infantry officer and led Marines at all levels, to include commanding the 2nd Battalion, 6th Marines and 5th Marine Regiment during Operation Iraqi Freedom. He also served as the Assistant Division Commander of the 1st Marine Division in Iraq, Commanded I Marine Expeditionary Force, and served as the Commander, Marine Forces U.S. Central Command. He served as the 36th Commandant of the Marine Corps, the Assistant Commandant of the Marine Corps and Commander of all U.S. Forces and NATO forces in Afghanistan.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Dunford graduated from Boston College High School and Saint Michael's College. He also earned master’s degrees in government from Georgetown University and in International Relations from the Fletcher School of Law and Diplomacy, Tufts University.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He currently serves as Chairman of the Board for the Injured Marine Semper Fi &amp; America’s Fund which supports wounded, ill, and injured active duty personnel and veterans from all U.S. armed services. He is also Chairman of the Board of the Adams Presidential Center. He is a Senior Fellow at the Belfer Center for Science and International Affairs, Harvard Kennedy School. He also serves as a member of the boards of directors of the Lockheed Martin Corporation, Bessemer Securities Corporation, Georgetown University, the Atlantic Council, and the Travis Manion Foundation.</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Peter Thomas Killalea.</w:t>
      </w:r>
      <w:r>
        <w:rPr>
          <w:color w:val="000000"/>
        </w:rPr>
        <w:t xml:space="preserve"> </w:t>
      </w:r>
      <w:r>
        <w:rPr>
          <w:rFonts w:ascii="Times New Roman;sans-serif" w:hAnsi="Times New Roman;sans-serif"/>
          <w:b w:val="false"/>
          <w:color w:val="000000"/>
          <w:sz w:val="20"/>
        </w:rPr>
        <w:t xml:space="preserve">Mr. Killalea joined our Board as a director in March 2022. He is a seasoned technology executive with deep expertise in product development, digital innovation, customer experience, and security.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November 2014 to December 2021, Mr. Killalea was the President of Aoinle, LLC, a consulting firm. From May 1998 to November 2014, Mr. Killalea served in various leadership roles at Amazon, most recently as its 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of Technology for the Kindle Content Ecosystem from 2008 to 2014. He led Amazon’s Infrastructure and Distributed Systems team, which later became a key part of the Amazon Web Services Platform. Previously, he served as Amazon’s Vice President of Infrastructure and Distributed Systems from 2003 to 2008 and prior to that as Chief Information Security Officer and Vice President of Security.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Killalea is Chairman of the board of directors of MongoDB, Inc., and serves on the board of directors of Capital One Financial Corp., and Akamai Technologies, Inc. He previously served on the boards of directors of Xoom Corporation from March 2015 until its acquisition by PayPal Holdings, Inc. in November 2015, and Carbon Black, Inc. from April 2017 until its acquisition by VMware in October 2019. He also currently serves on the editorial board of ACM Queue (Association for Computing Machinery). Mr. Killalea holds a B.Ed. in Education from the National University of Ireland and a B.S. in Computer Science from Trinity College Dublin in Ireland.</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Miguel Gutiérrez.</w:t>
      </w:r>
      <w:r>
        <w:rPr>
          <w:color w:val="000000"/>
        </w:rPr>
        <w:t xml:space="preserve"> </w:t>
      </w:r>
      <w:r>
        <w:rPr>
          <w:rFonts w:ascii="Times New Roman;sans-serif" w:hAnsi="Times New Roman;sans-serif"/>
          <w:b w:val="false"/>
          <w:color w:val="000000"/>
          <w:sz w:val="20"/>
        </w:rPr>
        <w:t xml:space="preserve">Mr. Gutiérrez is a Partner and Head of Private Markets at The Rohatyn Group (TRG), overseeing the firm’s private equity, private credit and infrastructure strategies. He is a member of TRG’s Executive Committee and is based in Montevideo.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Gutiérrez has over 30 years of experience in international financial markets, with the majority of this time dedicated to emerging markets. Prior to joining TRG in October 2004, Mr. Gutiérrez served as the Chairman and CEO of the Telefónica Group in Argentina and Chairman of Grupo Concesionario del Oeste S.A. He also served as the non-executive Chairman of YPF S.A. from April 2016 to December 2019. Earlier in his career, Mr. Gutiérrez held numerous senior positions at J.P. Morgan over 21 years, most recently as the Head of Global Emerging Markets Sales, Trading, and Research and prior to that as the Head of Latin America Emerging Markets. Under Mr. Gutiérrez's direction, J.P. Morgan established and cemented its leadership position in emerging markets sales, trading, and research. At the beginning of his time with J.P. Morgan, Mr. Gutiérrez held various senior positions, including Head of European Interest Rate Management and Treasury Manager in both Madrid and Buenos Aires. Mr. Gutiérrez holds an Advanced Management Program — AMP degree from IAE — Universidad Austral in Argentina.</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 written agreement, a copy of which is referenced as Exhibit 10.6 to this Report (the “Hannover Agreement”), following the consummation of the Merger and so long as Hannover holds at least 4% of our outstanding BVI Class A ordinary shares, Hannover shall have the right to nominate a person of its choice, reasonably acceptable to us, to serve on the Board as a director; subject to compliance with the independence requirements of Rule 5605 of the Nasdaq rules; provided that such director nominee agrees to be bound by such confidentiality, insider trading and other policies applicable to our directors as adopted by the Board. Hannover nominated Mr. Gutiérrez as its director nominee and on April 28, 2022, our Board elected Mr. Gutiérrez to the Board to fill the existing vacancy on the Board.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Independence of our Board of Directors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directors except Emiliano Kargieman, Howard Lutnick and Steven Mnuchin are independent directors as defined in the Nasdaq listing standards and applicable SEC rules. The Board has an audit committee (“Audit Committee”) composed entirely of independent directors, a nominating and corporate governance committee (“Nominating and Corporate Governance Committee”) a compensation committee (“Compensation Committee”), the majority of each of which is composed of independent directors, and a finance committee (“Finance Committee”), the majority of which is composed of non-independent directors.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Board Committees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Audit Committee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Committee is responsible for, among other things: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appointing, compensating, retaining, evaluating, terminating and overseeing our independent registered public accounting firm;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discussing with our independent registered public accounting firm their independence from management;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with our independent registered public accounting firm, the scope and results of their audit;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approving all audit and permissible non-audit services to be performed by our independent registered public accounting firm;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overseeing the financial reporting process and discussing with management and our independent registered public accounting firm the annual financial statements that we file with the SEC;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overseeing our financial and accounting controls and compliance with legal and regulatory requirements;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our policies on risk assessment and risk management;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reviewing related person transactions;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establishing procedures for the confidential anonymous submission of concerns regarding questionable accounting, internal controls or auditing matters.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Committee consists of Brad Halverson, as Chairperson and Ted Wang and Tom Killalea, as members. Each qualifies as an independent director according to the rules and regulations of the SEC and Nasdaq with respect to Audit Committee membership. In addition, all of the Audit Committee members meet the requirements for financial literacy under applicable SEC and Nasdaq rules and Mr. Halverson qualifies as an “audit committee financial expert,” as such term is defined in Item 407(d) of Regulation S-K. The written charter for the Audit Committee is available on our website at https://investors.satellogic.com. The reference to our website address in this Report does not include or incorporate by reference the information on our website into this Report.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Nominating and Corporate Governance Committee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Nominating and Corporate Governance Committee is responsible for, among other things: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determining the qualifications, qualities, skills and other expertise required to be a director and to develop, and recommend to the Board for its approval, criteria to be considered in selecting nominees for director;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evaluating the current composition, organization and governance of the Board and its committees, determining future requirements and making recommendations to the Board for approval consistent with the criteria approved by our Board;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searching for, identifying, evaluating and selecting, or recommending for selection by the Board, candidates to fill new positions or vacancies on the Board consistent with the criteria approved by our Board, and reviewing any candidates recommended by stockholders;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reviewing and considering any nominations of director candidates validly made by stockholders in accordance with applicable laws, rules and regulations and the provisions of our certificate of incorporation and bylaws;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evaluating the performance of individual members of the Board eligible for re-election, and selecting, or recommending for the selection of the Board, the director nominees by class for election to the Board by the stockholders at the annual meeting of stockholders or any special meeting of stockholders at which directors are to be elected;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considering the Board’s leadership structure, including the appointment of a lead independent director of the Board, for specific purposes, and making such recommendations to the Board with respect thereto as the Nominating and Corporate Governance Committee deems appropriate;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developing and reviewing periodically the policies and procedures for considering stockholder nominees for election to the Board;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evaluating the “independence” of directors and director nominees against the independence requirements of the securities exchange on which our securities are listed, applicable rules and regulations promulgated by the SEC and other applicable laws;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approving, or recommending to the Board for approval, and periodically reviewing the policies and procedures for director candidates, the stockholder communications policy and the external communications policy, and approving, or recommending to the Board for approval, any changes the Nominating and Corporate Governance Committee deems appropriate.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Nominating and Corporate Governance Committee consists of Ted Wang as Chairperson and Tom Killalea and Steven Mnuchin as members. Each of Mr. Wang and Mr. Killalea qualify as an independent director according to the rules and regulations of the SEC and Nasdaq with respect to nominations for committee membership. Mr. Mnuchin is not an independent director. As a foreign private issuer, we are exempt from the Nasdaq requirement to have a nominations committee consisting entirely of independent directors. We have determined that the fact that our Nominating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Governance Committee is not entirely composed of independent directors does not materially or adversely affect the ability of our Nominating and Corporate Governance Committee to conduct its business in our best interests. The written charter for the Nominating and Corporate Governance Committee is available on our website at https://investors.satellogic.com. The reference to our website address in this Report does not include or incorporate by reference the information on our website into this Report.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Compensation Committee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is responsible for, among other things: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providing oversight and advising the Board on the Company’s compensation policies, plans and benefits programs, as well as overall compensation philosophy;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reviewing and making recommendations to the Board regarding the compensation of the Company’s directors and executive officers;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administering the Company’s equity compensation plans.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consists of Ted Wang as Chairperson and Steven Mnuchin and Tom Killalea as members. Mr. Wang qualifies as an independent director according to the rules and regulations of the SEC and Nasdaq with respect to compensation committee membership. As a foreign private issuer, we are not currently required to have a compensation committee and we are exempt from the Nasdaq requirement to have a compensation committee consisting entirely of independent directors. We have determined that the fact that our Compensation Committee is not entirely composed of independent directors does not materially or adversely affect the ability of our Compensation Committee to conduct its business in our best interests. The written charter for the Compensation Committee is available on our website at https://investors.satellogic.com. The reference to our website address in this Report does not include or incorporate by reference the information on our website into this Report.</w:t>
      </w:r>
    </w:p>
    <w:p>
      <w:pPr>
        <w:pStyle w:val="TextBody"/>
        <w:bidi w:val="0"/>
        <w:spacing w:lineRule="auto" w:line="288" w:before="240" w:after="283"/>
        <w:jc w:val="both"/>
        <w:rPr/>
      </w:pPr>
      <w:r>
        <w:rPr>
          <w:rFonts w:ascii="Times New Roman;sans-serif" w:hAnsi="Times New Roman;sans-serif"/>
          <w:b/>
          <w:color w:val="000000"/>
          <w:sz w:val="20"/>
        </w:rPr>
        <w:t>Finance Committee</w:t>
      </w:r>
      <w:r>
        <w:rPr>
          <w:color w:val="000000"/>
        </w:rPr>
        <w:t xml:space="preserve">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Our finance committee (“Finance Committee”) is responsible for, among other things: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assisting the Board with monitoring and overseeing our financial performance and, in particular, our liquidity position and capital expenditures, and collaborating with our officers and staff concerned with our finances so as to monitor our financial performance;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monitoring and overseeing our financial performance and providing recommendations to the Board on our capital management strategy;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subject to the parameters set forth by the Board from time to time, overseeing, reviewing and approving, as necessary or appropriate, our key treasury and financing activities including, but not limited to, delegation of authority matrix, investment policy, capital structure and fundraising;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determining the terms of and approving transactions between us and one or more of our affiliated entities (irrespective of how many intermediate parent companies or entities exist between us and such affiliates);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causing us or any of our affiliates (as applicable) to incorporate, register or form any new company or other legal entity as a new affiliate from time to time, and to open accounts with any bank or financial institution with respect to any new or existing affiliate.</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Finance Committee consists of Steven Mnuchin as Chairperson and Brad Halverson and Emiliano Kargieman as members. Mr. Halverson qualifies as an independent director according to the rules and regulations of the SEC and Nasdaq with respect to finance committee membership. Neither Mr. Mnuchin nor Mr. Kargieman are independent directors. As a foreign private issuer, we are not required to have a finance committee. Nevertheless, we have determined that the fact that our Finance Committee is not entirely composed of independent directors does not materially or adversely affect the ability of our Finance Committee to conduct its business in our best interests. The written charter for the Finance Committee is available on our website at https://investors.satellogic.com. The reference to our website address in this Report does not include or incorporate by reference the information on our website into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 Oversight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is responsible for overseeing our risk management process. The Board focuses on our general risk management strategy, the most significant risks facing us, and oversees the implementation of risk mitigation strategies by management. Our Audit Committee is also responsible for discussing our policies with respect to risk assessment and risk management. Our Board believes its administration of its risk oversight function has not negatively affected our Board’s leadership structure.</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Code of Ethics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adopted a Code of Ethics applicable to our senior financial officers (our Chief Executive Officer, Chief Financial Officer and Vice President - Corporate Controller) that complies with the rules and regulations of Nasdaq and the SEC. The Code of Ethics is available on our website at https://investors.satellogic.com/corporate-governance/governance-documents. In addition, we have posted on the Corporate Governance section of our website all disclosures that are required by law or Nasdaq listing standards concerning any amendments to, or waivers from, any provision of the Code of Ethics. The reference to our website address in this Report does not include or incorporate by reference the information on our website into this Report.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Compensation of Directors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compensation program reflects our compensation policies and philosophies, as they may be modified and updated from time to time. </w:t>
      </w:r>
    </w:p>
    <w:p>
      <w:pPr>
        <w:pStyle w:val="TextBody"/>
        <w:bidi w:val="0"/>
        <w:spacing w:lineRule="auto" w:line="288" w:before="240" w:after="283"/>
        <w:jc w:val="both"/>
        <w:rPr/>
      </w:pPr>
      <w:r>
        <w:rPr>
          <w:rFonts w:ascii="Times New Roman;sans-serif" w:hAnsi="Times New Roman;sans-serif"/>
          <w:b w:val="false"/>
          <w:color w:val="000000"/>
          <w:sz w:val="20"/>
        </w:rPr>
        <w:t>Decisions with respect to the compensation of our executive officers, including our named executive officers, will be made by the compensation committee of the Board. Our executive compensation programs for 2023 are further described below under “</w:t>
      </w:r>
      <w:r>
        <w:rPr>
          <w:rFonts w:ascii="Times New Roman;sans-serif" w:hAnsi="Times New Roman;sans-serif"/>
          <w:b w:val="false"/>
          <w:i/>
          <w:color w:val="000000"/>
          <w:sz w:val="20"/>
        </w:rPr>
        <w:t>B. Compensation</w:t>
      </w:r>
      <w:r>
        <w:rPr>
          <w:rFonts w:ascii="Times New Roman;sans-serif" w:hAnsi="Times New Roman;sans-serif"/>
          <w:b w:val="false"/>
          <w:color w:val="000000"/>
          <w:sz w:val="2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of our non-employee directors is entitled to a cash retainer of $60,000 per year, which the directors may elect to receive in the form of RSUs. As the Chairperson of the Audit Committee, Mr. Halverson is entitled to an additional $20,000 retainer per year. Each of the foregoing directors are also entitled to an annual grant of equity valued at $175,000, which will vest one year following the grant date. There are no arrangements with any directors for the payment of any fees after termination.</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bidi w:val="0"/>
        <w:spacing w:lineRule="auto" w:line="288" w:before="120" w:after="283"/>
        <w:jc w:val="both"/>
        <w:rPr/>
      </w:pPr>
      <w:r>
        <w:rPr>
          <w:rFonts w:ascii="Times New Roman;sans-serif" w:hAnsi="Times New Roman;sans-serif"/>
          <w:b w:val="false"/>
          <w:color w:val="000000"/>
          <w:sz w:val="20"/>
        </w:rPr>
        <w:t xml:space="preserve">The names, ages, and current positions of our current executive officers as of March 15, 2024 are listed in the table below. For biographical information concerning Mr. Kargieman, see “— </w:t>
      </w:r>
      <w:r>
        <w:rPr>
          <w:rFonts w:ascii="Times New Roman;sans-serif" w:hAnsi="Times New Roman;sans-serif"/>
          <w:b w:val="false"/>
          <w:i/>
          <w:color w:val="000000"/>
          <w:sz w:val="20"/>
        </w:rPr>
        <w:t>Board of Directors</w:t>
      </w:r>
      <w:r>
        <w:rPr>
          <w:color w:val="000000"/>
        </w:rPr>
        <w:t xml:space="preserve">” </w:t>
      </w:r>
      <w:r>
        <w:rPr>
          <w:rFonts w:ascii="Times New Roman;sans-serif" w:hAnsi="Times New Roman;sans-serif"/>
          <w:b w:val="false"/>
          <w:color w:val="000000"/>
          <w:sz w:val="20"/>
        </w:rPr>
        <w:t xml:space="preserve">above. The business address for our executive officers is c/o Satellogic Inc., Ruta 8 Km 17,500, Edificio 300 Oficina 324 Zonamérica Montevideo, 91600, Uruguay. </w:t>
      </w:r>
    </w:p>
    <w:tbl>
      <w:tblPr>
        <w:tblW w:w="4914" w:type="dxa"/>
        <w:jc w:val="center"/>
        <w:tblInd w:w="0" w:type="dxa"/>
        <w:tblLayout w:type="fixed"/>
        <w:tblCellMar>
          <w:top w:w="28" w:type="dxa"/>
          <w:left w:w="28" w:type="dxa"/>
          <w:bottom w:w="28" w:type="dxa"/>
          <w:right w:w="28" w:type="dxa"/>
        </w:tblCellMar>
      </w:tblPr>
      <w:tblGrid>
        <w:gridCol w:w="651"/>
        <w:gridCol w:w="571"/>
        <w:gridCol w:w="578"/>
        <w:gridCol w:w="109"/>
        <w:gridCol w:w="109"/>
        <w:gridCol w:w="109"/>
        <w:gridCol w:w="130"/>
        <w:gridCol w:w="130"/>
        <w:gridCol w:w="131"/>
        <w:gridCol w:w="109"/>
        <w:gridCol w:w="109"/>
        <w:gridCol w:w="109"/>
        <w:gridCol w:w="602"/>
        <w:gridCol w:w="602"/>
        <w:gridCol w:w="865"/>
      </w:tblGrid>
      <w:tr>
        <w:trPr/>
        <w:tc>
          <w:tcPr>
            <w:tcW w:w="65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r>
      <w:tr>
        <w:trPr/>
        <w:tc>
          <w:tcPr>
            <w:tcW w:w="1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Emiliano Kargieman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Tirman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Rick Dunn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Brannen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 Legal</w:t>
            </w:r>
          </w:p>
        </w:tc>
      </w:tr>
    </w:tbl>
    <w:p>
      <w:pPr>
        <w:pStyle w:val="TextBody"/>
        <w:bidi w:val="0"/>
        <w:spacing w:lineRule="auto" w:line="288" w:before="240" w:after="283"/>
        <w:jc w:val="both"/>
        <w:rPr/>
      </w:pPr>
      <w:r>
        <w:rPr>
          <w:rFonts w:ascii="Times New Roman;sans-serif" w:hAnsi="Times New Roman;sans-serif"/>
          <w:b/>
          <w:i/>
          <w:color w:val="000000"/>
          <w:sz w:val="20"/>
        </w:rPr>
        <w:t xml:space="preserve">Matthew Tirman. </w:t>
      </w:r>
      <w:r>
        <w:rPr>
          <w:rFonts w:ascii="Times New Roman;sans-serif" w:hAnsi="Times New Roman;sans-serif"/>
          <w:b w:val="false"/>
          <w:color w:val="000000"/>
          <w:sz w:val="20"/>
        </w:rPr>
        <w:t>Mr. Tirman serves as President of Satellogic, bringing more than 20 years of experience in technology and aerospace from across the US government and international markets. As President, he leads the operational execution of Satellogic’s strategy and business plan. Prior to this appointment, Mr. Tirman held the position of Chief Commercial Officer, where he began laying the groundwork for Satellogic’s early entry into the U.S. market.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joining Satellogic in 2021, Matt served as Head of Government at Descartes Labs, a leading provider of geospatial and multi-sensor analytics, where he revenue growth and customer delivery across defense and intelligence clients. His previous roles include Chief Commercial Officer at PlanetRisk, where he was responsible for delivering enterprise geospatial risk analytics and customized big data solutions to Global 1000 customers; Chief Executive Officer and founder of Access Global, a consulting firm providing executive management, sales, and business development solutions in foreign markets across EMEA and Asia; Vice President and Managing Director at Strategic Social,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services firm operating frontier markets across the Middle East and North Africa that he helped grow to more than $40 million in annual revenue before it was sold to Constellis in 2014.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Matt has served as an analyst for the U.S. Department of Defense on cooperative Research and Development and as a speechwriter for senior military leadership in Washington D.C. and Baghdad, Iraq. He holds a master’s degree in Defense and Security from Lancaster University and a BS in Political Science from East Carolina University.</w:t>
      </w:r>
    </w:p>
    <w:p>
      <w:pPr>
        <w:pStyle w:val="TextBody"/>
        <w:bidi w:val="0"/>
        <w:spacing w:before="0" w:after="0"/>
        <w:ind w:left="0" w:right="0" w:firstLine="720"/>
        <w:jc w:val="both"/>
        <w:rPr/>
      </w:pPr>
      <w:r>
        <w:rPr/>
      </w:r>
    </w:p>
    <w:p>
      <w:pPr>
        <w:pStyle w:val="TextBody"/>
        <w:bidi w:val="0"/>
        <w:spacing w:lineRule="auto" w:line="288" w:before="240" w:after="283"/>
        <w:jc w:val="both"/>
        <w:rPr/>
      </w:pPr>
      <w:r>
        <w:rPr>
          <w:rFonts w:ascii="Times New Roman;sans-serif" w:hAnsi="Times New Roman;sans-serif"/>
          <w:b/>
          <w:i/>
          <w:color w:val="000000"/>
          <w:sz w:val="20"/>
        </w:rPr>
        <w:t>Rick Dunn</w:t>
      </w:r>
      <w:r>
        <w:rPr>
          <w:rFonts w:ascii="Times New Roman;sans-serif" w:hAnsi="Times New Roman;sans-serif"/>
          <w:b w:val="false"/>
          <w:color w:val="000000"/>
          <w:sz w:val="20"/>
        </w:rPr>
        <w:t>. Mr. Dunn has served as our Chief Financial Officer since January 2019. Prior to joining us, Mr. Dunn served as Chief Executive Officer of PowerTeam Services, LLC, a super-regional utility service company, from February 2018 to November 2018 and as Executive Vice President and Chief Financial Officer at ACN Inc., a telecommunications company, from October 2014 to January 2018. Mr. Dunn also served as SVP &amp; Chief Financial Officer at Trilogy International Partners Inc., a wireless carrier, and as Corporate Controller for Western Wireless International. In addition, his experience includes 10 years with the public accounting firm of Grant Thornton LLP. Mr. Dunn is a Certified Public Accountant (inactive) and holds a B.B.A. degree from Pacific Lutheran University and an M.B.A. from Seattle University.</w:t>
      </w:r>
    </w:p>
    <w:p>
      <w:pPr>
        <w:pStyle w:val="TextBody"/>
        <w:bidi w:val="0"/>
        <w:spacing w:lineRule="auto" w:line="288" w:before="240" w:after="283"/>
        <w:jc w:val="both"/>
        <w:rPr/>
      </w:pPr>
      <w:r>
        <w:rPr>
          <w:rFonts w:ascii="Times New Roman;sans-serif" w:hAnsi="Times New Roman;sans-serif"/>
          <w:b/>
          <w:i/>
          <w:color w:val="000000"/>
          <w:sz w:val="20"/>
        </w:rPr>
        <w:t>Matthew Brannen.</w:t>
      </w:r>
      <w:r>
        <w:rPr>
          <w:color w:val="000000"/>
        </w:rPr>
        <w:t xml:space="preserve"> </w:t>
      </w:r>
      <w:r>
        <w:rPr>
          <w:rFonts w:ascii="Times New Roman;sans-serif" w:hAnsi="Times New Roman;sans-serif"/>
          <w:b w:val="false"/>
          <w:color w:val="000000"/>
          <w:sz w:val="20"/>
        </w:rPr>
        <w:t>Mr. Brannen has served as our Vice President of Legal since October 2022. Prior to joining the Company, Mr. Brannen served as Director, Corporate Counsel for Sunlight Financial, a technology-enabled point-of-sale financing company. Prior to joining Sunlight Financial, Mr. Brannen served as Associate General Counsel for ACN, Inc., an essential services business operating across 27 countries. Previously, he served as external counsel for public and private businesses, including major public utilities and Fortune 500 companies, and as in-house counsel in the commercial real estate investment and asset management industries. Mr. Brannen received a J.D. with honors from The Catholic University of America, Columbus School of Law, and a bachelor’s degree from Furman University.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Arrangements Involving Directors and Senior Management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of the Hannover Agreement, Mr. Gutiérrez was nominated by Hannover as its director nominee, and on April 28, 2022, our Board elected Mr. Gutiérrez to the Board.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Hannover Agreement and the Liberty Letter Agreement, there are no arrangements or understandings of which we are aware relating to the election of our directors or the appointment of executive officers in our Company. In addition, there are no family relationships among any of the individuals listed in this Section A (Directors and Senior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left"/>
        <w:rPr/>
      </w:pPr>
      <w:r>
        <w:rPr>
          <w:rFonts w:ascii="Times New Roman;sans-serif" w:hAnsi="Times New Roman;sans-serif"/>
          <w:b w:val="false"/>
          <w:color w:val="000000"/>
          <w:sz w:val="20"/>
        </w:rPr>
        <w:t>B.</w:t>
      </w:r>
      <w:r>
        <w:rPr>
          <w:color w:val="000000"/>
        </w:rPr>
        <w:t>    </w:t>
      </w:r>
      <w:r>
        <w:rPr>
          <w:rFonts w:ascii="Times New Roman;sans-serif" w:hAnsi="Times New Roman;sans-serif"/>
          <w:b/>
          <w:color w:val="000000"/>
          <w:sz w:val="20"/>
        </w:rPr>
        <w:t>Compensation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our executive officers received cash compensation of $1,668 and non-cash compensation of $100, totaling $1,768.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2023 Grants of Plan-Based Awards to Executives</w:t>
      </w:r>
    </w:p>
    <w:tbl>
      <w:tblPr>
        <w:tblW w:w="10205" w:type="dxa"/>
        <w:jc w:val="left"/>
        <w:tblInd w:w="0" w:type="dxa"/>
        <w:tblLayout w:type="fixed"/>
        <w:tblCellMar>
          <w:top w:w="28" w:type="dxa"/>
          <w:left w:w="28" w:type="dxa"/>
          <w:bottom w:w="28" w:type="dxa"/>
          <w:right w:w="28" w:type="dxa"/>
        </w:tblCellMar>
      </w:tblPr>
      <w:tblGrid>
        <w:gridCol w:w="430"/>
        <w:gridCol w:w="376"/>
        <w:gridCol w:w="382"/>
        <w:gridCol w:w="109"/>
        <w:gridCol w:w="109"/>
        <w:gridCol w:w="109"/>
        <w:gridCol w:w="247"/>
        <w:gridCol w:w="247"/>
        <w:gridCol w:w="248"/>
        <w:gridCol w:w="109"/>
        <w:gridCol w:w="109"/>
        <w:gridCol w:w="109"/>
        <w:gridCol w:w="758"/>
        <w:gridCol w:w="623"/>
        <w:gridCol w:w="625"/>
        <w:gridCol w:w="140"/>
        <w:gridCol w:w="140"/>
        <w:gridCol w:w="109"/>
        <w:gridCol w:w="659"/>
        <w:gridCol w:w="1363"/>
        <w:gridCol w:w="369"/>
        <w:gridCol w:w="109"/>
        <w:gridCol w:w="109"/>
        <w:gridCol w:w="109"/>
        <w:gridCol w:w="451"/>
        <w:gridCol w:w="1695"/>
        <w:gridCol w:w="362"/>
      </w:tblGrid>
      <w:tr>
        <w:trPr/>
        <w:tc>
          <w:tcPr>
            <w:tcW w:w="43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of Stock or Units (#) (1)</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or Base Price of Option or RSU Awards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 Fair Value of Stock and Option Awards (4)</w:t>
            </w:r>
          </w:p>
        </w:tc>
      </w:tr>
      <w:tr>
        <w:trPr/>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Emiliano Kargieman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Rick Dunn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147,801 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263,086 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89"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8" w:type="dxa"/>
            <w:gridSpan w:val="3"/>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Matthew Brannen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57,894 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175,998 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Matthew Brannen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49,438 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88,000 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Matthew Tirman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101,236 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180,200 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356,369 </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707,284 </w:t>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 Represents restricted stock units granted under our Equity Incentive Plan. The material terms of our Equity Incentive Plan are described below under “- Equity Compensation Plans.” Mr. Kargieman did not receive grants of RSUs in 2023. No grants of options were made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(2) Represents RSUs, of which were 9,237 vested on September 20, 2023, 9,237 vested on December 20, 2023, and the remainder vest quarterly beginning March 20, 2024 through June 20, 2027, subject to continued employment and other conditions specified in our Equity Incentive Plan.</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(3) Represents RSUs, of which were 14,474 vested on December 20, 2023, and the remainder vest quarterly beginning March 20, 2024 through December 20, 2026, subject to continued employment and other conditions specified in our Equity Incentive Plan.</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(4) Represents RSUs, of which were 12,359 vested on December 20, 2023, and the remainder vest quarterly beginning March 20, 2024 through June 20, 2025, subject to continued employment and other conditions specified in our Equity Incentive Plan.</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(5) Represents RSUs, of which were 25,309 vested on December 20, 2023, and the remainder vest quarterly beginning March 20, 2024 through June 20, 2025, subject to continued employment and other conditions specified in our Equity Incentive Plan.</w:t>
      </w:r>
    </w:p>
    <w:p>
      <w:pPr>
        <w:pStyle w:val="TextBody"/>
        <w:bidi w:val="0"/>
        <w:spacing w:before="120" w:after="283"/>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executive officers held options to purchase an aggregate of 680,624 Class A ordinary shares, as follows:</w:t>
      </w:r>
    </w:p>
    <w:tbl>
      <w:tblPr>
        <w:tblW w:w="10205" w:type="dxa"/>
        <w:jc w:val="left"/>
        <w:tblInd w:w="0" w:type="dxa"/>
        <w:tblLayout w:type="fixed"/>
        <w:tblCellMar>
          <w:top w:w="28" w:type="dxa"/>
          <w:left w:w="28" w:type="dxa"/>
          <w:bottom w:w="28" w:type="dxa"/>
          <w:right w:w="28" w:type="dxa"/>
        </w:tblCellMar>
      </w:tblPr>
      <w:tblGrid>
        <w:gridCol w:w="412"/>
        <w:gridCol w:w="360"/>
        <w:gridCol w:w="367"/>
        <w:gridCol w:w="109"/>
        <w:gridCol w:w="109"/>
        <w:gridCol w:w="109"/>
        <w:gridCol w:w="237"/>
        <w:gridCol w:w="237"/>
        <w:gridCol w:w="238"/>
        <w:gridCol w:w="109"/>
        <w:gridCol w:w="109"/>
        <w:gridCol w:w="109"/>
        <w:gridCol w:w="357"/>
        <w:gridCol w:w="357"/>
        <w:gridCol w:w="358"/>
        <w:gridCol w:w="109"/>
        <w:gridCol w:w="109"/>
        <w:gridCol w:w="109"/>
        <w:gridCol w:w="230"/>
        <w:gridCol w:w="548"/>
        <w:gridCol w:w="128"/>
        <w:gridCol w:w="138"/>
        <w:gridCol w:w="138"/>
        <w:gridCol w:w="109"/>
        <w:gridCol w:w="781"/>
        <w:gridCol w:w="771"/>
        <w:gridCol w:w="774"/>
        <w:gridCol w:w="109"/>
        <w:gridCol w:w="109"/>
        <w:gridCol w:w="109"/>
        <w:gridCol w:w="750"/>
        <w:gridCol w:w="661"/>
        <w:gridCol w:w="946"/>
      </w:tblGrid>
      <w:tr>
        <w:trPr/>
        <w:tc>
          <w:tcPr>
            <w:tcW w:w="41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Price</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 Outstanding at December 31, 2023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 Exercisable at December 31, 2023 (#)</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Emiliano Kargieman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Rick Dunn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3/26/2029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482,975 </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482,975 </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28,787 </w:t>
            </w:r>
          </w:p>
        </w:tc>
        <w:tc>
          <w:tcPr>
            <w:tcW w:w="7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28,787 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5"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Matthew Brannen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Matthew Tirman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1/31/2021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1/31/2031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168,862 </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119,611 </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680,624 </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631,373 </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Messrs. Kargieman and Brannen did not receive grants of options. </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(2) 36,558 options vested on February 9, 2020, and the remaining vested in tranches of approximately 3,046 options on a monthly basis through February 9, 2023.</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(3) Options vested every six months in tranches of 2,179 options beginning August 13, 2020 through February 13, 2022.</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(4) 12,781 options vested on February 1, 2021, with the remainder vesting in monthly tranches of approximately 1,065 options through February 1, 2025.</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Equity Incentive Plans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Closing, we established our Equity Incentive Plan for officers, directors, employees, consultants and other persons who provide services to us and our subsidiaries, and which provides for an aggregate share reserve thereunder, together with the current share reserve equal to ten percent of our common stock and warrants issued immediately following the Closing, plus the shares reserved for issuance under the 2015 Share Plan as amended (the “2015 Share Plan”), which were rolled over into the Equity Incentive Plan.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Employment Agreements</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Chief Executive Officer.</w:t>
      </w:r>
      <w:r>
        <w:rPr>
          <w:color w:val="000000"/>
        </w:rPr>
        <w:t xml:space="preserve"> </w:t>
      </w:r>
      <w:r>
        <w:rPr>
          <w:rFonts w:ascii="Times New Roman;sans-serif" w:hAnsi="Times New Roman;sans-serif"/>
          <w:b w:val="false"/>
          <w:color w:val="000000"/>
          <w:sz w:val="20"/>
        </w:rPr>
        <w:t xml:space="preserve">Emiliano Kargieman was appointed as Chief Executive Officer of Nettar effective November 13, 2013. He entered into his most recent employment agreement with us on October 5, 2021. Under the agreement, Mr. Kargieman will receive an annual salary of 442,130 euros (approximately $488,023 at December 31, 2023), plus standard Company benefits that may be reviewed, but not necessarily increased, from time to time. In addition, Mr. Kargieman is subject to confidentiality provisions and non-solicitation restrictive covenants for a period following the termination of his employment.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Clawback Policy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24, 2023, the Board adopted the Satellogic Inc. Clawback Policy (the “Clawback Policy”). which policy describes the circumstances in which Executive Officers (as defined in the Clawback Policy) will be required to repay or return Erroneously Awarded Compensation (as defined in the Clawback Policy) to the Company. The Clawback Policy provides for the recovery of certain incentive-based compensation from current and former Executive Officers of the Company in the event the Company is required to restate any of its financial statements filed with the SEC under the Exchange Act in order to correct an error that (i) is material to the previously-issued financial statements, or (ii) would result in a material misstatement if the error were corrected in the current period or left uncorrected in the current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Adoption of the Clawback Policy was mandated by new Nasdaq listing standards introduced pursuant to Exchange Act Rule 10D-1. The Clawback Policy is in addition to Section 304 of the Sarbanes-Oxley Act of 2002 which permits the SEC to order the disgorgement of bonuses and incentive-based compensation earned by a registrant issuer’s chief executive officer and chief financial officer in the year following the filing of any financial statement that the issuer is required to restate because of misconduct, and the reimbursement of those funds to the issuer. A copy of the Clawback Policy has been filed herewith as Exhibit 97.1.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left"/>
        <w:rPr/>
      </w:pPr>
      <w:r>
        <w:rPr>
          <w:rFonts w:ascii="Times New Roman;sans-serif" w:hAnsi="Times New Roman;sans-serif"/>
          <w:b w:val="false"/>
          <w:color w:val="000000"/>
          <w:sz w:val="20"/>
        </w:rPr>
        <w:t>C.</w:t>
      </w:r>
      <w:r>
        <w:rPr>
          <w:color w:val="000000"/>
        </w:rPr>
        <w:t>    </w:t>
      </w:r>
      <w:r>
        <w:rPr>
          <w:rFonts w:ascii="Times New Roman;sans-serif" w:hAnsi="Times New Roman;sans-serif"/>
          <w:b/>
          <w:color w:val="000000"/>
          <w:sz w:val="20"/>
        </w:rPr>
        <w:t>Board Practices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Mr. Kargieman has been serving on the Board since prior to December 31, 2021. Messrs. Wang, Galperin, Halverson, Lutnick, Mnuchin, Dunford, Killalea and Gutiérrez were initially appointed to the Board during the fiscal year ended December 31, 2022 and Messrs. Lutnick and Gutiérrez were reelected during the fiscal year ended December 31, 2023. No director has a service contract with us, in their capacity as a director, or is entitled to any benefits upon ceasing to serve as a director except for equity grants made under our Equity Incentive Plan. See Note 4 (Reverse Recapitalization) to the Consolidated Financial Statements</w:t>
      </w:r>
      <w:r>
        <w:rPr>
          <w:color w:val="000000"/>
        </w:rPr>
        <w:t xml:space="preserve"> </w:t>
      </w:r>
      <w:r>
        <w:rPr>
          <w:rFonts w:ascii="Times New Roman;sans-serif" w:hAnsi="Times New Roman;sans-serif"/>
          <w:b w:val="false"/>
          <w:color w:val="000000"/>
          <w:sz w:val="20"/>
        </w:rPr>
        <w:t xml:space="preserve">for a description of the advisory fee payable by us to Liberty 77 Capital L.P., the investment manager of the members of the Liberty Investor.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details regarding our Audit Committee, see Item 6.A “Directors and Executive Officers—Board Committees.”</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Foreign Private Issuer Exemption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“foreign private issuer,” as defined by the SEC, we are permitted to follow home country corporate governance practices, instead of certain corporate governance practices required by Nasdaq for U.S. domestic issuers other than with respect to certain voting and committee requirements. We may elect to avail ourself of the exemptions available to us under Rule 5613(c) of the Nasdaq rules by forgoing (i) the requirement that we have a compensation committee that is composed entirely of independent directors with a written charter addressing the committee’s purpose and responsibilities and (ii) the requirement that we have a nominating and corporate governance committee composed of entirely independent directors with a written charter addressing the committee’s purpose and responsibilities. We are eligible to take advantage of additional exemptions from certain corporate governance standards of the Nasdaq.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home country rule exemptions set forth under Nasdaq Listing Rule 5615, we have elected to be exempt from the requirement under Nasdaq Listing Rule 5635 to obtain shareholder approval for the issuance of 20% or more of our outstanding Class A ordinary shares, including, for instance, the issuance of Class A ordinary shares issuable upon conversion of the Secured Convertible Notes. Nasdaq Listing Rule 5635 requires each issuer to obtain shareholder approval prior to certain dilutive events, including a transaction other than a public offering involving the sale of 20% or more of the issuer’s common shares outstanding prior to the transaction for less than the greater of book or market value of the shares. As a foreign private issuer, however, we may adopt the practices of our home country, the British Virgin Islands, which do not require shareholder approval for such issuances.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take all actions necessary for us to maintain compliance as a foreign private issuer under the applicable corporate governance requirements of the Sarbanes-Oxley Act, the rules adopted by the SEC and the Nasdaq corporate governance rules and listing standards.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are a foreign private issuer, our directors and senior management are not subject to short-swing profit and insider trading reporting obligations under Section 16 of the Exchange Act. They are, however, subject to the obligations to report changes in share ownership under Section 13 of the Exchange Act and related SEC rules.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left"/>
        <w:rPr/>
      </w:pPr>
      <w:r>
        <w:rPr>
          <w:rFonts w:ascii="Times New Roman;sans-serif" w:hAnsi="Times New Roman;sans-serif"/>
          <w:b w:val="false"/>
          <w:color w:val="000000"/>
          <w:sz w:val="20"/>
        </w:rPr>
        <w:t>D.    </w:t>
      </w:r>
      <w:r>
        <w:rPr>
          <w:rFonts w:ascii="Times New Roman;sans-serif" w:hAnsi="Times New Roman;sans-serif"/>
          <w:b/>
          <w:color w:val="000000"/>
          <w:sz w:val="20"/>
        </w:rPr>
        <w:t>Employees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See Item 4.B. </w:t>
      </w:r>
      <w:r>
        <w:rPr>
          <w:color w:val="000000"/>
        </w:rPr>
        <w:t>“</w:t>
      </w:r>
      <w:r>
        <w:rPr>
          <w:rFonts w:ascii="Times New Roman;sans-serif" w:hAnsi="Times New Roman;sans-serif"/>
          <w:b w:val="false"/>
          <w:i/>
          <w:color w:val="000000"/>
          <w:sz w:val="20"/>
        </w:rPr>
        <w:t>Business Overview – Operations – Human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both"/>
        <w:rPr/>
      </w:pPr>
      <w:r>
        <w:rPr>
          <w:rFonts w:ascii="Times New Roman;sans-serif" w:hAnsi="Times New Roman;sans-serif"/>
          <w:b w:val="false"/>
          <w:color w:val="000000"/>
          <w:sz w:val="20"/>
        </w:rPr>
        <w:t>E.    </w:t>
      </w:r>
      <w:r>
        <w:rPr>
          <w:rFonts w:ascii="Times New Roman;sans-serif" w:hAnsi="Times New Roman;sans-serif"/>
          <w:b/>
          <w:color w:val="000000"/>
          <w:sz w:val="20"/>
        </w:rPr>
        <w:t>Share Ownership</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about the ownership of our Ordinary Shares by our directors and members of Executive Management is set forth in ”Item 6.B. Compensation” and “Item 7. Major Shareholders and Related Party Transactions.” </w:t>
      </w:r>
    </w:p>
    <w:p>
      <w:pPr>
        <w:pStyle w:val="TextBody"/>
        <w:bidi w:val="0"/>
        <w:spacing w:before="120" w:after="283"/>
        <w:ind w:left="0" w:right="0" w:firstLine="540"/>
        <w:jc w:val="both"/>
        <w:rPr/>
      </w:pPr>
      <w:r>
        <w:rPr/>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F.    </w:t>
      </w:r>
      <w:r>
        <w:rPr>
          <w:rFonts w:ascii="Times New Roman;sans-serif" w:hAnsi="Times New Roman;sans-serif"/>
          <w:b/>
          <w:color w:val="000000"/>
          <w:sz w:val="20"/>
        </w:rPr>
        <w:t>Disclosure of a Registrant’s Action to Recover Erroneously Awarded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7.    MAJOR SHAREHOLDERS AND RELATED PARTY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left"/>
        <w:rPr/>
      </w:pPr>
      <w:r>
        <w:rPr>
          <w:rFonts w:ascii="Times New Roman;sans-serif" w:hAnsi="Times New Roman;sans-serif"/>
          <w:b w:val="false"/>
          <w:color w:val="000000"/>
          <w:sz w:val="20"/>
        </w:rPr>
        <w:t>A.    </w:t>
      </w:r>
      <w:r>
        <w:rPr>
          <w:rFonts w:ascii="Times New Roman;sans-serif" w:hAnsi="Times New Roman;sans-serif"/>
          <w:b/>
          <w:color w:val="000000"/>
          <w:sz w:val="20"/>
        </w:rPr>
        <w:t>Major Shareholders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beneficial ownership of our Ordinary Shares as of March 15, 2024: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each person known to by us to be the beneficial owner of more than 5% of our Ordinary Shares;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each of our directors and executive officers;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all of our directors and executive officers as a group.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noted herein, the number and percentage of our Ordinary Shares beneficially owned is determined in accordance with Rule 13d-3 of the Exchange Act, and the information is not necessarily indicative of beneficial ownership for any other purpose. Under such rule, beneficial ownership includes any of our Ordinary Shares as to which the holder has sole or shared voting power or investment power.</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based percentage ownership on 76,721,343 Class A ordinary shares and 13,582,642 Class B ordinary shares outstanding as of March 15, 2024.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indicated, we believe that all persons named in the table below have sole voting and investment power with respect to our Ordinary Shares beneficially owned by them. Emiliano Kargieman, our Chief Executive Officer, holds 100% of our Class B ordinary shares outstanding. Our holders of Class B ordinary shares are entitled to 1.472467906 votes per share on all matters to be voted on by shareholders generally, including the election of directors (the “Class B Vote Per Share”). The Class B Vote Per Share is subject to automatic adjustment, for a more detailed description of the adjustment provisions see Exhibit 2.7 as incorporated by reference herein.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tbl>
      <w:tblPr>
        <w:tblW w:w="10205" w:type="dxa"/>
        <w:jc w:val="center"/>
        <w:tblInd w:w="0" w:type="dxa"/>
        <w:tblLayout w:type="fixed"/>
        <w:tblCellMar>
          <w:top w:w="28" w:type="dxa"/>
          <w:left w:w="28" w:type="dxa"/>
          <w:bottom w:w="28" w:type="dxa"/>
          <w:right w:w="28" w:type="dxa"/>
        </w:tblCellMar>
      </w:tblPr>
      <w:tblGrid>
        <w:gridCol w:w="1599"/>
        <w:gridCol w:w="1172"/>
        <w:gridCol w:w="1177"/>
        <w:gridCol w:w="109"/>
        <w:gridCol w:w="109"/>
        <w:gridCol w:w="109"/>
        <w:gridCol w:w="574"/>
        <w:gridCol w:w="507"/>
        <w:gridCol w:w="364"/>
        <w:gridCol w:w="109"/>
        <w:gridCol w:w="109"/>
        <w:gridCol w:w="109"/>
        <w:gridCol w:w="255"/>
        <w:gridCol w:w="256"/>
        <w:gridCol w:w="278"/>
        <w:gridCol w:w="109"/>
        <w:gridCol w:w="109"/>
        <w:gridCol w:w="109"/>
        <w:gridCol w:w="540"/>
        <w:gridCol w:w="541"/>
        <w:gridCol w:w="364"/>
        <w:gridCol w:w="109"/>
        <w:gridCol w:w="109"/>
        <w:gridCol w:w="109"/>
        <w:gridCol w:w="308"/>
        <w:gridCol w:w="308"/>
        <w:gridCol w:w="278"/>
        <w:gridCol w:w="109"/>
        <w:gridCol w:w="109"/>
        <w:gridCol w:w="158"/>
      </w:tblGrid>
      <w:tr>
        <w:trPr/>
        <w:tc>
          <w:tcPr>
            <w:tcW w:w="159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Address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Class A</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Ordinary Shares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Beneficially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 xml:space="preserve">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Ordinary Shares</w:t>
              <w:br/>
              <w:t>Number of</w:t>
              <w:br/>
              <w:t>Shares</w:t>
              <w:br/>
              <w:t>Beneficially</w:t>
              <w:b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 xml:space="preserve">Class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Directors and Executive Officers</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Emiliano Kargieman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13,582,642 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Rick Dunn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161,803 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 Tirman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Brannen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16,373 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Ted Wang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Marcos Galperin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98,735 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 Halverson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Steven Terner Mnuchin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Howard Lutnick</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13,380,873 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Dunford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Peter Thomas Killalea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408,061 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Miguel Gutiérrez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executive officers and directors as a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34,187,657 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13,582,642 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5% or More Stockholders</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Pitanga Invest Ltd. - PO Box 309, Ugland House, Cayman Islands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10,594,133 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Hannover Holdings S.A. - 58, rue Charles Martel, L-2134, Luxembourg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7,513,892 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Liberty Strategic Capital (SATL) Holdings, LLC - 2099 Pennsylvania Ave NW, Washington, DC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Cantor Fitzgerald L.P. - 110 E 59th St New York, NY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13,380,873 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(1)Unless otherwise noted, the business address of each of the following entities or individuals is c/o Satellogic Inc., Ruta 8 Km 17,500, Edificio 300 Oficina 324 Zonamérica Montevideo, 91600, Uruguay.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Sponsor is the record holder of 13,380,873 Class A ordinary shares. Mr. Lutnick is the Chairman and Chief Executive Officer of CFGM and is the trustee of CFGM’s sole stockholder. As such, each of Cantor, CFGM and Mr. Lutnick may be deemed to have beneficial ownership of the Class A ordinary shares held directly by the Sponsor, CF&amp;Co. and CF Securities. Each such entity or person disclaims any beneficial ownership of the reported shares other than to the extent of any pecuniary interest they may have therein, directly or indirectly.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(3)Information related to Pitanga Invest Ltd.’s beneficial ownership is derived from its Schedule 13G filed with the SEC on October 3, 2023.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(4)Information related to Hannover’s beneficial ownership is derived from its Schedule 13D filed with the SEC on February 2, 2023.</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(5)Information related to Liberty’s beneficial ownership is derived from its Amendment No. 1 to its Schedule 13D filed with the SEC on December 13, 2022. Each such entity or person disclaims any beneficial ownership of the reported shares other than to the extent of any pecuniary interest they may have therein, directly or indirectly. </w:t>
      </w:r>
    </w:p>
    <w:p>
      <w:pPr>
        <w:pStyle w:val="TextBody"/>
        <w:bidi w:val="0"/>
        <w:spacing w:before="0" w:after="0"/>
        <w:jc w:val="left"/>
        <w:rPr/>
      </w:pPr>
      <w:r>
        <w:rPr/>
      </w:r>
    </w:p>
    <w:p>
      <w:pPr>
        <w:pStyle w:val="TextBody"/>
        <w:bidi w:val="0"/>
        <w:spacing w:lineRule="auto" w:line="276"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(6)     An “*” indicates less than 1% ownership.</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U.S. Resident Holders of Record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15, 2024, to the Company’s knowledge, we had 18 holders of record of our Class A ordinary shares in the United States, representing approximately 81.1% of our outstanding Class A ordinary shares, and no holders of record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our Class B ordinary shares in the United States. To the Company’s knowledge, the majority of the Company’s voting securities are held by holders located outside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left"/>
        <w:rPr/>
      </w:pPr>
      <w:r>
        <w:rPr>
          <w:rFonts w:ascii="Times New Roman;sans-serif" w:hAnsi="Times New Roman;sans-serif"/>
          <w:b w:val="false"/>
          <w:color w:val="000000"/>
          <w:sz w:val="20"/>
        </w:rPr>
        <w:t>B.    </w:t>
      </w:r>
      <w:r>
        <w:rPr>
          <w:rFonts w:ascii="Times New Roman;sans-serif" w:hAnsi="Times New Roman;sans-serif"/>
          <w:b/>
          <w:color w:val="000000"/>
          <w:sz w:val="20"/>
        </w:rPr>
        <w:t>Related Party Transactions</w:t>
      </w:r>
    </w:p>
    <w:p>
      <w:pPr>
        <w:pStyle w:val="TextBody"/>
        <w:bidi w:val="0"/>
        <w:spacing w:lineRule="auto" w:line="288" w:before="3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6, 2022, we entered into an Investment Agreement with OS, a company engaged in the design and production of telescopes and opto-mechanical and aerospace instrumentation for ground and space-based applications, to purchase 5% of OS’s outstanding common shares for $3.7 million. Additionally, OS issued 524,715 stock warrants to us, giving us the right to convert each warrant into a single common share over a period of up to 36 months. We appointed Emiliano Kargieman, our Chief Executive Officer, to OS’s board of directors. The investment was completed on September 30, 2022.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17, 2022, we entered into a master supply agreement with OS aimed at regulating the terms and conditions under which we will purchase from OS, and OS will sell or provide to the us, certain products and ancillary services to be integrated into our satellites.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16 of Item 8 (Financial Information) for further information on the related party transactions with OS.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CF&amp;Co, which is the beneficial owner of more than 5% of the Company’s outstanding Class A Ordinary Shares, served as the Company’s financial advisor in connection with the offering and sale of the Secured Convertible Notes. Pursuant to a letter agreement, CF&amp;Co will receive a fee equal to $0.9 million after the closing of the Secured Convertible Notes. Howard Lutnick, a member of the Company’s Board of Directors, is the Chief Executive Office of CF&amp;Co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left"/>
        <w:rPr/>
      </w:pPr>
      <w:r>
        <w:rPr>
          <w:rFonts w:ascii="Times New Roman;sans-serif" w:hAnsi="Times New Roman;sans-serif"/>
          <w:b w:val="false"/>
          <w:color w:val="000000"/>
          <w:sz w:val="20"/>
        </w:rPr>
        <w:t>C.    </w:t>
      </w:r>
      <w:r>
        <w:rPr>
          <w:rFonts w:ascii="Times New Roman;sans-serif" w:hAnsi="Times New Roman;sans-serif"/>
          <w:b/>
          <w:color w:val="000000"/>
          <w:sz w:val="20"/>
        </w:rPr>
        <w:t>Interests of Experts and Counsel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8.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540"/>
        <w:jc w:val="left"/>
        <w:rPr/>
      </w:pPr>
      <w:r>
        <w:rPr>
          <w:rFonts w:ascii="Times New Roman;sans-serif" w:hAnsi="Times New Roman;sans-serif"/>
          <w:b/>
          <w:color w:val="000000"/>
          <w:sz w:val="20"/>
        </w:rPr>
        <w:t>A.</w:t>
      </w:r>
      <w:r>
        <w:rPr>
          <w:color w:val="000000"/>
        </w:rPr>
        <w:t>    </w:t>
      </w:r>
      <w:r>
        <w:rPr>
          <w:rFonts w:ascii="Times New Roman;sans-serif" w:hAnsi="Times New Roman;sans-serif"/>
          <w:b/>
          <w:color w:val="000000"/>
          <w:sz w:val="20"/>
        </w:rPr>
        <w:t>Consolidated Statements and Other Financial Information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602"/>
        <w:gridCol w:w="3094"/>
        <w:gridCol w:w="3104"/>
        <w:gridCol w:w="118"/>
        <w:gridCol w:w="118"/>
        <w:gridCol w:w="169"/>
      </w:tblGrid>
      <w:tr>
        <w:trPr/>
        <w:tc>
          <w:tcPr>
            <w:tcW w:w="3602"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c>
          <w:tcPr>
            <w:tcW w:w="31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8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aaca00e571c4218bebd1a008f6effc5_112">
              <w:r>
                <w:rPr>
                  <w:rStyle w:val="InternetLink"/>
                  <w:rFonts w:ascii="Times New Roman;sans-serif" w:hAnsi="Times New Roman;sans-serif"/>
                  <w:b w:val="false"/>
                  <w:color w:val="0000FF"/>
                  <w:sz w:val="20"/>
                  <w:u w:val="single"/>
                </w:rPr>
                <w:t xml:space="preserve">Reports of Independent Registered Public Accounting Firms (Ernst &amp; Young LLP: PCAOB ID No. </w:t>
              </w:r>
            </w:hyperlink>
            <w:r>
              <w:rPr>
                <w:rFonts w:ascii="Times New Roman;sans-serif" w:hAnsi="Times New Roman;sans-serif"/>
                <w:b w:val="false"/>
                <w:color w:val="000000"/>
                <w:sz w:val="20"/>
              </w:rPr>
              <w:t>42</w:t>
            </w:r>
            <w:hyperlink w:anchor="iaaaca00e571c4218bebd1a008f6effc5_112">
              <w:r>
                <w:rPr>
                  <w:rStyle w:val="InternetLink"/>
                  <w:color w:val="0000FF"/>
                  <w:u w:val="single"/>
                </w:rPr>
                <w:t xml:space="preserve"> </w:t>
              </w:r>
            </w:hyperlink>
            <w:hyperlink w:anchor="iaaaca00e571c4218bebd1a008f6effc5_112">
              <w:r>
                <w:rPr>
                  <w:rStyle w:val="InternetLink"/>
                  <w:rFonts w:ascii="Times New Roman;sans-serif" w:hAnsi="Times New Roman;sans-serif"/>
                  <w:b w:val="false"/>
                  <w:color w:val="0000FF"/>
                  <w:sz w:val="20"/>
                  <w:u w:val="single"/>
                </w:rPr>
                <w:t xml:space="preserve">and </w:t>
              </w:r>
            </w:hyperlink>
            <w:hyperlink w:anchor="iaaaca00e571c4218bebd1a008f6effc5_112">
              <w:r>
                <w:rPr>
                  <w:rStyle w:val="InternetLink"/>
                  <w:rFonts w:ascii="Times New Roman;sans-serif" w:hAnsi="Times New Roman;sans-serif"/>
                  <w:b w:val="false"/>
                  <w:color w:val="000080"/>
                  <w:sz w:val="20"/>
                  <w:u w:val="single"/>
                </w:rPr>
                <w:t>Pistrelli, Henry Martin y Asociados S.R.L</w:t>
              </w:r>
            </w:hyperlink>
            <w:hyperlink w:anchor="iaaaca00e571c4218bebd1a008f6effc5_112">
              <w:r>
                <w:rPr>
                  <w:rStyle w:val="InternetLink"/>
                  <w:rFonts w:ascii="Times New Roman;sans-serif" w:hAnsi="Times New Roman;sans-serif"/>
                  <w:b w:val="false"/>
                  <w:color w:val="000080"/>
                  <w:sz w:val="20"/>
                  <w:u w:val="single"/>
                </w:rPr>
                <w:t xml:space="preserve">.: PCAOB ID No. </w:t>
              </w:r>
            </w:hyperlink>
            <w:r>
              <w:rPr>
                <w:rFonts w:ascii="Times New Roman;sans-serif" w:hAnsi="Times New Roman;sans-serif"/>
                <w:b w:val="false"/>
                <w:color w:val="000000"/>
                <w:sz w:val="20"/>
              </w:rPr>
              <w:t>1449</w:t>
            </w:r>
            <w:hyperlink w:anchor="iaaaca00e571c4218bebd1a008f6effc5_112">
              <w:r>
                <w:rPr>
                  <w:rStyle w:val="InternetLink"/>
                  <w:rFonts w:ascii="Times New Roman;sans-serif" w:hAnsi="Times New Roman;sans-serif"/>
                  <w:b w:val="false"/>
                  <w:color w:val="0000FF"/>
                  <w:sz w:val="20"/>
                  <w:u w:val="single"/>
                </w:rPr>
                <w:t>)</w:t>
              </w:r>
            </w:hyperlink>
          </w:p>
        </w:tc>
        <w:tc>
          <w:tcPr>
            <w:tcW w:w="4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aca00e571c4218bebd1a008f6effc5_112">
              <w:r>
                <w:rPr>
                  <w:rStyle w:val="InternetLink"/>
                  <w:rFonts w:ascii="Times New Roman;sans-serif" w:hAnsi="Times New Roman;sans-serif"/>
                  <w:b w:val="false"/>
                  <w:strike w:val="false"/>
                  <w:dstrike w:val="false"/>
                  <w:color w:val="000080"/>
                  <w:sz w:val="20"/>
                  <w:u w:val="single"/>
                  <w:effect w:val="none"/>
                </w:rPr>
                <w:t>F-</w:t>
              </w:r>
            </w:hyperlink>
            <w:hyperlink w:anchor="iaaaca00e571c4218bebd1a008f6effc5_112">
              <w:r>
                <w:rPr>
                  <w:rStyle w:val="InternetLink"/>
                  <w:rFonts w:ascii="Times New Roman;sans-serif" w:hAnsi="Times New Roman;sans-serif"/>
                  <w:b w:val="false"/>
                  <w:strike w:val="false"/>
                  <w:dstrike w:val="false"/>
                  <w:color w:val="000080"/>
                  <w:sz w:val="20"/>
                  <w:u w:val="single"/>
                  <w:effect w:val="none"/>
                </w:rPr>
                <w:t>1</w:t>
              </w:r>
            </w:hyperlink>
          </w:p>
        </w:tc>
      </w:tr>
      <w:tr>
        <w:trPr/>
        <w:tc>
          <w:tcPr>
            <w:tcW w:w="9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aaca00e571c4218bebd1a008f6effc5_115">
              <w:r>
                <w:rPr>
                  <w:rStyle w:val="InternetLink"/>
                  <w:rFonts w:ascii="Times New Roman;sans-serif" w:hAnsi="Times New Roman;sans-serif"/>
                  <w:b w:val="false"/>
                  <w:color w:val="000080"/>
                  <w:sz w:val="20"/>
                  <w:u w:val="single"/>
                </w:rPr>
                <w:t>Consolidated Statements of Operations and Comprehensive Loss for the years ended December 31, 202</w:t>
              </w:r>
            </w:hyperlink>
            <w:hyperlink w:anchor="iaaaca00e571c4218bebd1a008f6effc5_115">
              <w:r>
                <w:rPr>
                  <w:rStyle w:val="InternetLink"/>
                  <w:rFonts w:ascii="Times New Roman;sans-serif" w:hAnsi="Times New Roman;sans-serif"/>
                  <w:b w:val="false"/>
                  <w:color w:val="000080"/>
                  <w:sz w:val="20"/>
                  <w:u w:val="single"/>
                </w:rPr>
                <w:t>3</w:t>
              </w:r>
            </w:hyperlink>
            <w:hyperlink w:anchor="iaaaca00e571c4218bebd1a008f6effc5_115">
              <w:r>
                <w:rPr>
                  <w:rStyle w:val="InternetLink"/>
                  <w:rFonts w:ascii="Times New Roman;sans-serif" w:hAnsi="Times New Roman;sans-serif"/>
                  <w:b w:val="false"/>
                  <w:color w:val="000080"/>
                  <w:sz w:val="20"/>
                  <w:u w:val="single"/>
                </w:rPr>
                <w:t>, 202</w:t>
              </w:r>
            </w:hyperlink>
            <w:hyperlink w:anchor="iaaaca00e571c4218bebd1a008f6effc5_115">
              <w:r>
                <w:rPr>
                  <w:rStyle w:val="InternetLink"/>
                  <w:rFonts w:ascii="Times New Roman;sans-serif" w:hAnsi="Times New Roman;sans-serif"/>
                  <w:b w:val="false"/>
                  <w:color w:val="000080"/>
                  <w:sz w:val="20"/>
                  <w:u w:val="single"/>
                </w:rPr>
                <w:t>2</w:t>
              </w:r>
            </w:hyperlink>
            <w:hyperlink w:anchor="iaaaca00e571c4218bebd1a008f6effc5_115">
              <w:r>
                <w:rPr>
                  <w:rStyle w:val="InternetLink"/>
                  <w:rFonts w:ascii="Times New Roman;sans-serif" w:hAnsi="Times New Roman;sans-serif"/>
                  <w:b w:val="false"/>
                  <w:color w:val="000080"/>
                  <w:sz w:val="20"/>
                  <w:u w:val="single"/>
                </w:rPr>
                <w:t xml:space="preserve"> and 202</w:t>
              </w:r>
            </w:hyperlink>
            <w:hyperlink w:anchor="iaaaca00e571c4218bebd1a008f6effc5_115">
              <w:r>
                <w:rPr>
                  <w:rStyle w:val="InternetLink"/>
                  <w:rFonts w:ascii="Times New Roman;sans-serif" w:hAnsi="Times New Roman;sans-serif"/>
                  <w:b w:val="false"/>
                  <w:color w:val="000080"/>
                  <w:sz w:val="20"/>
                  <w:u w:val="single"/>
                </w:rPr>
                <w:t>1</w:t>
              </w:r>
            </w:hyperlink>
            <w:hyperlink w:anchor="iaaaca00e571c4218bebd1a008f6effc5_115">
              <w:r>
                <w:rPr>
                  <w:rStyle w:val="InternetLink"/>
                  <w:rFonts w:ascii="Times New Roman;sans-serif" w:hAnsi="Times New Roman;sans-serif"/>
                  <w:b w:val="false"/>
                  <w:color w:val="000080"/>
                  <w:sz w:val="20"/>
                  <w:u w:val="single"/>
                </w:rPr>
                <w:t xml:space="preserve"> </w:t>
              </w:r>
            </w:hyperlink>
          </w:p>
        </w:tc>
        <w:tc>
          <w:tcPr>
            <w:tcW w:w="4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aca00e571c4218bebd1a008f6effc5_115">
              <w:r>
                <w:rPr>
                  <w:rStyle w:val="InternetLink"/>
                  <w:rFonts w:ascii="Times New Roman;sans-serif" w:hAnsi="Times New Roman;sans-serif"/>
                  <w:b w:val="false"/>
                  <w:strike w:val="false"/>
                  <w:dstrike w:val="false"/>
                  <w:color w:val="000080"/>
                  <w:sz w:val="20"/>
                  <w:u w:val="single"/>
                  <w:effect w:val="none"/>
                </w:rPr>
                <w:t>F-</w:t>
              </w:r>
            </w:hyperlink>
            <w:hyperlink w:anchor="iaaaca00e571c4218bebd1a008f6effc5_115">
              <w:r>
                <w:rPr>
                  <w:rStyle w:val="InternetLink"/>
                  <w:rFonts w:ascii="Times New Roman;sans-serif" w:hAnsi="Times New Roman;sans-serif"/>
                  <w:b w:val="false"/>
                  <w:strike w:val="false"/>
                  <w:dstrike w:val="false"/>
                  <w:color w:val="000080"/>
                  <w:sz w:val="20"/>
                  <w:u w:val="single"/>
                  <w:effect w:val="none"/>
                </w:rPr>
                <w:t>3</w:t>
              </w:r>
            </w:hyperlink>
          </w:p>
        </w:tc>
      </w:tr>
      <w:tr>
        <w:trPr/>
        <w:tc>
          <w:tcPr>
            <w:tcW w:w="9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aaca00e571c4218bebd1a008f6effc5_118">
              <w:r>
                <w:rPr>
                  <w:rStyle w:val="InternetLink"/>
                  <w:rFonts w:ascii="Times New Roman;sans-serif" w:hAnsi="Times New Roman;sans-serif"/>
                  <w:b w:val="false"/>
                  <w:color w:val="000080"/>
                  <w:sz w:val="20"/>
                  <w:u w:val="single"/>
                </w:rPr>
                <w:t>Consolidated Balance Sheets as of December 31, 202</w:t>
              </w:r>
            </w:hyperlink>
            <w:hyperlink w:anchor="iaaaca00e571c4218bebd1a008f6effc5_118">
              <w:r>
                <w:rPr>
                  <w:rStyle w:val="InternetLink"/>
                  <w:rFonts w:ascii="Times New Roman;sans-serif" w:hAnsi="Times New Roman;sans-serif"/>
                  <w:b w:val="false"/>
                  <w:color w:val="000080"/>
                  <w:sz w:val="20"/>
                  <w:u w:val="single"/>
                </w:rPr>
                <w:t>3</w:t>
              </w:r>
            </w:hyperlink>
            <w:hyperlink w:anchor="iaaaca00e571c4218bebd1a008f6effc5_118">
              <w:r>
                <w:rPr>
                  <w:rStyle w:val="InternetLink"/>
                  <w:rFonts w:ascii="Times New Roman;sans-serif" w:hAnsi="Times New Roman;sans-serif"/>
                  <w:b w:val="false"/>
                  <w:color w:val="000080"/>
                  <w:sz w:val="20"/>
                  <w:u w:val="single"/>
                </w:rPr>
                <w:t xml:space="preserve"> and 202</w:t>
              </w:r>
            </w:hyperlink>
            <w:hyperlink w:anchor="iaaaca00e571c4218bebd1a008f6effc5_118">
              <w:r>
                <w:rPr>
                  <w:rStyle w:val="InternetLink"/>
                  <w:rFonts w:ascii="Times New Roman;sans-serif" w:hAnsi="Times New Roman;sans-serif"/>
                  <w:b w:val="false"/>
                  <w:color w:val="000080"/>
                  <w:sz w:val="20"/>
                  <w:u w:val="single"/>
                </w:rPr>
                <w:t>2</w:t>
              </w:r>
            </w:hyperlink>
          </w:p>
        </w:tc>
        <w:tc>
          <w:tcPr>
            <w:tcW w:w="4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aca00e571c4218bebd1a008f6effc5_118">
              <w:r>
                <w:rPr>
                  <w:rStyle w:val="InternetLink"/>
                  <w:rFonts w:ascii="Times New Roman;sans-serif" w:hAnsi="Times New Roman;sans-serif"/>
                  <w:b w:val="false"/>
                  <w:strike w:val="false"/>
                  <w:dstrike w:val="false"/>
                  <w:color w:val="000080"/>
                  <w:sz w:val="20"/>
                  <w:u w:val="single"/>
                  <w:effect w:val="none"/>
                </w:rPr>
                <w:t>F-</w:t>
              </w:r>
            </w:hyperlink>
            <w:hyperlink w:anchor="iaaaca00e571c4218bebd1a008f6effc5_118">
              <w:r>
                <w:rPr>
                  <w:rStyle w:val="InternetLink"/>
                  <w:rFonts w:ascii="Times New Roman;sans-serif" w:hAnsi="Times New Roman;sans-serif"/>
                  <w:b w:val="false"/>
                  <w:strike w:val="false"/>
                  <w:dstrike w:val="false"/>
                  <w:color w:val="000080"/>
                  <w:sz w:val="20"/>
                  <w:u w:val="single"/>
                  <w:effect w:val="none"/>
                </w:rPr>
                <w:t>4</w:t>
              </w:r>
            </w:hyperlink>
          </w:p>
        </w:tc>
      </w:tr>
      <w:tr>
        <w:trPr/>
        <w:tc>
          <w:tcPr>
            <w:tcW w:w="9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aaca00e571c4218bebd1a008f6effc5_124">
              <w:r>
                <w:rPr>
                  <w:rStyle w:val="InternetLink"/>
                  <w:rFonts w:ascii="Times New Roman;sans-serif" w:hAnsi="Times New Roman;sans-serif"/>
                  <w:b w:val="false"/>
                  <w:color w:val="000080"/>
                  <w:sz w:val="20"/>
                  <w:u w:val="single"/>
                </w:rPr>
                <w:t>Consolidated Statements of Redeemable Preferred Stock and Stockholders' Equity (Deficit) for the years ended December 31, 202</w:t>
              </w:r>
            </w:hyperlink>
            <w:hyperlink w:anchor="iaaaca00e571c4218bebd1a008f6effc5_124">
              <w:r>
                <w:rPr>
                  <w:rStyle w:val="InternetLink"/>
                  <w:rFonts w:ascii="Times New Roman;sans-serif" w:hAnsi="Times New Roman;sans-serif"/>
                  <w:b w:val="false"/>
                  <w:color w:val="000080"/>
                  <w:sz w:val="20"/>
                  <w:u w:val="single"/>
                </w:rPr>
                <w:t>3</w:t>
              </w:r>
            </w:hyperlink>
            <w:hyperlink w:anchor="iaaaca00e571c4218bebd1a008f6effc5_124">
              <w:r>
                <w:rPr>
                  <w:rStyle w:val="InternetLink"/>
                  <w:rFonts w:ascii="Times New Roman;sans-serif" w:hAnsi="Times New Roman;sans-serif"/>
                  <w:b w:val="false"/>
                  <w:color w:val="000080"/>
                  <w:sz w:val="20"/>
                  <w:u w:val="single"/>
                </w:rPr>
                <w:t>, 202</w:t>
              </w:r>
            </w:hyperlink>
            <w:hyperlink w:anchor="iaaaca00e571c4218bebd1a008f6effc5_124">
              <w:r>
                <w:rPr>
                  <w:rStyle w:val="InternetLink"/>
                  <w:rFonts w:ascii="Times New Roman;sans-serif" w:hAnsi="Times New Roman;sans-serif"/>
                  <w:b w:val="false"/>
                  <w:color w:val="000080"/>
                  <w:sz w:val="20"/>
                  <w:u w:val="single"/>
                </w:rPr>
                <w:t>2</w:t>
              </w:r>
            </w:hyperlink>
            <w:hyperlink w:anchor="iaaaca00e571c4218bebd1a008f6effc5_124">
              <w:r>
                <w:rPr>
                  <w:rStyle w:val="InternetLink"/>
                  <w:rFonts w:ascii="Times New Roman;sans-serif" w:hAnsi="Times New Roman;sans-serif"/>
                  <w:b w:val="false"/>
                  <w:color w:val="000080"/>
                  <w:sz w:val="20"/>
                  <w:u w:val="single"/>
                </w:rPr>
                <w:t xml:space="preserve"> and 202</w:t>
              </w:r>
            </w:hyperlink>
            <w:hyperlink w:anchor="iaaaca00e571c4218bebd1a008f6effc5_124">
              <w:r>
                <w:rPr>
                  <w:rStyle w:val="InternetLink"/>
                  <w:rFonts w:ascii="Times New Roman;sans-serif" w:hAnsi="Times New Roman;sans-serif"/>
                  <w:b w:val="false"/>
                  <w:color w:val="000080"/>
                  <w:sz w:val="20"/>
                  <w:u w:val="single"/>
                </w:rPr>
                <w:t>1</w:t>
              </w:r>
            </w:hyperlink>
          </w:p>
        </w:tc>
        <w:tc>
          <w:tcPr>
            <w:tcW w:w="4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aca00e571c4218bebd1a008f6effc5_124">
              <w:r>
                <w:rPr>
                  <w:rStyle w:val="InternetLink"/>
                  <w:rFonts w:ascii="Times New Roman;sans-serif" w:hAnsi="Times New Roman;sans-serif"/>
                  <w:b w:val="false"/>
                  <w:strike w:val="false"/>
                  <w:dstrike w:val="false"/>
                  <w:color w:val="000080"/>
                  <w:sz w:val="20"/>
                  <w:u w:val="single"/>
                  <w:effect w:val="none"/>
                </w:rPr>
                <w:t>F-</w:t>
              </w:r>
            </w:hyperlink>
            <w:hyperlink w:anchor="iaaaca00e571c4218bebd1a008f6effc5_124">
              <w:r>
                <w:rPr>
                  <w:rStyle w:val="InternetLink"/>
                  <w:rFonts w:ascii="Times New Roman;sans-serif" w:hAnsi="Times New Roman;sans-serif"/>
                  <w:b w:val="false"/>
                  <w:strike w:val="false"/>
                  <w:dstrike w:val="false"/>
                  <w:color w:val="000080"/>
                  <w:sz w:val="20"/>
                  <w:u w:val="single"/>
                  <w:effect w:val="none"/>
                </w:rPr>
                <w:t>5</w:t>
              </w:r>
            </w:hyperlink>
          </w:p>
        </w:tc>
      </w:tr>
      <w:tr>
        <w:trPr/>
        <w:tc>
          <w:tcPr>
            <w:tcW w:w="9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aaca00e571c4218bebd1a008f6effc5_127">
              <w:r>
                <w:rPr>
                  <w:rStyle w:val="InternetLink"/>
                  <w:rFonts w:ascii="Times New Roman;sans-serif" w:hAnsi="Times New Roman;sans-serif"/>
                  <w:b w:val="false"/>
                  <w:color w:val="000080"/>
                  <w:sz w:val="20"/>
                  <w:u w:val="single"/>
                </w:rPr>
                <w:t>Consolidated Statements of Cash Flows for the years ended December 31, 202</w:t>
              </w:r>
            </w:hyperlink>
            <w:hyperlink w:anchor="iaaaca00e571c4218bebd1a008f6effc5_127">
              <w:r>
                <w:rPr>
                  <w:rStyle w:val="InternetLink"/>
                  <w:rFonts w:ascii="Times New Roman;sans-serif" w:hAnsi="Times New Roman;sans-serif"/>
                  <w:b w:val="false"/>
                  <w:color w:val="000080"/>
                  <w:sz w:val="20"/>
                  <w:u w:val="single"/>
                </w:rPr>
                <w:t>3</w:t>
              </w:r>
            </w:hyperlink>
            <w:hyperlink w:anchor="iaaaca00e571c4218bebd1a008f6effc5_127">
              <w:r>
                <w:rPr>
                  <w:rStyle w:val="InternetLink"/>
                  <w:rFonts w:ascii="Times New Roman;sans-serif" w:hAnsi="Times New Roman;sans-serif"/>
                  <w:b w:val="false"/>
                  <w:color w:val="000080"/>
                  <w:sz w:val="20"/>
                  <w:u w:val="single"/>
                </w:rPr>
                <w:t>, 202</w:t>
              </w:r>
            </w:hyperlink>
            <w:hyperlink w:anchor="iaaaca00e571c4218bebd1a008f6effc5_127">
              <w:r>
                <w:rPr>
                  <w:rStyle w:val="InternetLink"/>
                  <w:rFonts w:ascii="Times New Roman;sans-serif" w:hAnsi="Times New Roman;sans-serif"/>
                  <w:b w:val="false"/>
                  <w:color w:val="000080"/>
                  <w:sz w:val="20"/>
                  <w:u w:val="single"/>
                </w:rPr>
                <w:t>2</w:t>
              </w:r>
            </w:hyperlink>
            <w:hyperlink w:anchor="iaaaca00e571c4218bebd1a008f6effc5_127">
              <w:r>
                <w:rPr>
                  <w:rStyle w:val="InternetLink"/>
                  <w:rFonts w:ascii="Times New Roman;sans-serif" w:hAnsi="Times New Roman;sans-serif"/>
                  <w:b w:val="false"/>
                  <w:color w:val="000080"/>
                  <w:sz w:val="20"/>
                  <w:u w:val="single"/>
                </w:rPr>
                <w:t xml:space="preserve"> and 202</w:t>
              </w:r>
            </w:hyperlink>
            <w:hyperlink w:anchor="iaaaca00e571c4218bebd1a008f6effc5_127">
              <w:r>
                <w:rPr>
                  <w:rStyle w:val="InternetLink"/>
                  <w:rFonts w:ascii="Times New Roman;sans-serif" w:hAnsi="Times New Roman;sans-serif"/>
                  <w:b w:val="false"/>
                  <w:color w:val="000080"/>
                  <w:sz w:val="20"/>
                  <w:u w:val="single"/>
                </w:rPr>
                <w:t>1</w:t>
              </w:r>
            </w:hyperlink>
          </w:p>
        </w:tc>
        <w:tc>
          <w:tcPr>
            <w:tcW w:w="4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aca00e571c4218bebd1a008f6effc5_127">
              <w:r>
                <w:rPr>
                  <w:rStyle w:val="InternetLink"/>
                  <w:rFonts w:ascii="Times New Roman;sans-serif" w:hAnsi="Times New Roman;sans-serif"/>
                  <w:b w:val="false"/>
                  <w:strike w:val="false"/>
                  <w:dstrike w:val="false"/>
                  <w:color w:val="000080"/>
                  <w:sz w:val="20"/>
                  <w:u w:val="single"/>
                  <w:effect w:val="none"/>
                </w:rPr>
                <w:t>F-</w:t>
              </w:r>
            </w:hyperlink>
            <w:hyperlink w:anchor="iaaaca00e571c4218bebd1a008f6effc5_127">
              <w:r>
                <w:rPr>
                  <w:rStyle w:val="InternetLink"/>
                  <w:rFonts w:ascii="Times New Roman;sans-serif" w:hAnsi="Times New Roman;sans-serif"/>
                  <w:b w:val="false"/>
                  <w:strike w:val="false"/>
                  <w:dstrike w:val="false"/>
                  <w:color w:val="000080"/>
                  <w:sz w:val="20"/>
                  <w:u w:val="single"/>
                  <w:effect w:val="none"/>
                </w:rPr>
                <w:t>7</w:t>
              </w:r>
            </w:hyperlink>
          </w:p>
        </w:tc>
      </w:tr>
      <w:tr>
        <w:trPr/>
        <w:tc>
          <w:tcPr>
            <w:tcW w:w="9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aaca00e571c4218bebd1a008f6effc5_130">
              <w:r>
                <w:rPr>
                  <w:rStyle w:val="InternetLink"/>
                  <w:rFonts w:ascii="Times New Roman;sans-serif" w:hAnsi="Times New Roman;sans-serif"/>
                  <w:b w:val="false"/>
                  <w:color w:val="0000FF"/>
                  <w:sz w:val="20"/>
                  <w:u w:val="single"/>
                </w:rPr>
                <w:t>Notes to the Consolidated Financial Statements</w:t>
              </w:r>
            </w:hyperlink>
          </w:p>
        </w:tc>
        <w:tc>
          <w:tcPr>
            <w:tcW w:w="4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aca00e571c4218bebd1a008f6effc5_130">
              <w:r>
                <w:rPr>
                  <w:rStyle w:val="InternetLink"/>
                  <w:rFonts w:ascii="Times New Roman;sans-serif" w:hAnsi="Times New Roman;sans-serif"/>
                  <w:b w:val="false"/>
                  <w:strike w:val="false"/>
                  <w:dstrike w:val="false"/>
                  <w:color w:val="000080"/>
                  <w:sz w:val="20"/>
                  <w:u w:val="single"/>
                  <w:effect w:val="none"/>
                </w:rPr>
                <w:t>F-</w:t>
              </w:r>
            </w:hyperlink>
            <w:hyperlink w:anchor="iaaaca00e571c4218bebd1a008f6effc5_130">
              <w:r>
                <w:rPr>
                  <w:rStyle w:val="InternetLink"/>
                  <w:rFonts w:ascii="Times New Roman;sans-serif" w:hAnsi="Times New Roman;sans-serif"/>
                  <w:b w:val="false"/>
                  <w:strike w:val="false"/>
                  <w:dstrike w:val="false"/>
                  <w:color w:val="000080"/>
                  <w:sz w:val="20"/>
                  <w:u w:val="single"/>
                  <w:effect w:val="none"/>
                </w:rPr>
                <w:t>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Satellogic Inc.</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Opinion on the Financial Statements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Satellogic Inc. (the Company) as of December 31, 2023 and 2022, the related consolidated statements of operations and comprehensive loss, redeemable preferred stock and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The Company's Ability to Continue as a Going Concern</w:t>
      </w:r>
    </w:p>
    <w:p>
      <w:pPr>
        <w:pStyle w:val="TextBody"/>
        <w:bidi w:val="0"/>
        <w:spacing w:lineRule="auto" w:line="288" w:before="240" w:after="283"/>
        <w:jc w:val="both"/>
        <w:rPr/>
      </w:pPr>
      <w:r>
        <w:rPr>
          <w:rFonts w:ascii="Times New Roman;sans-serif" w:hAnsi="Times New Roman;sans-serif"/>
          <w:b w:val="false"/>
          <w:color w:val="000000"/>
          <w:sz w:val="20"/>
        </w:rPr>
        <w:t xml:space="preserve">The accompanying consolidated financial statements have been prepared assuming that the Company will continue as a going concern. As discussed in the Going Concern and Liquidity section in </w:t>
      </w:r>
      <w:r>
        <w:rPr>
          <w:rFonts w:ascii="Times New Roman;sans-serif" w:hAnsi="Times New Roman;sans-serif"/>
          <w:b w:val="false"/>
          <w:color w:val="000000"/>
          <w:sz w:val="20"/>
          <w:shd w:fill="FFFFFF" w:val="clear"/>
        </w:rPr>
        <w:t xml:space="preserve">Note 1 </w:t>
      </w:r>
      <w:r>
        <w:rPr>
          <w:rFonts w:ascii="Times New Roman;sans-serif" w:hAnsi="Times New Roman;sans-serif"/>
          <w:b w:val="false"/>
          <w:color w:val="000000"/>
          <w:sz w:val="20"/>
        </w:rPr>
        <w:t>to the financial statements, the Company has incurred significant operating losses, has an accumulated deficit, has insufficient liquidity to sustain operations and capital expenditures to reach larger scale revenue generation from their product offerings, and as such, has stated that substantial doubt exists about the Company’s ability to continue as a going concern. Management's evaluation of the events and conditions and management’s plans regarding these matters are also described in the Going Concern and Liquidity section in</w:t>
      </w:r>
      <w:r>
        <w:rPr>
          <w:color w:val="000000"/>
          <w:shd w:fill="FFFFFF" w:val="clear"/>
        </w:rPr>
        <w:t xml:space="preserve"> </w:t>
      </w:r>
      <w:r>
        <w:rPr>
          <w:rFonts w:ascii="Times New Roman;sans-serif" w:hAnsi="Times New Roman;sans-serif"/>
          <w:b w:val="false"/>
          <w:color w:val="000000"/>
          <w:sz w:val="20"/>
          <w:shd w:fill="FFFFFF" w:val="clear"/>
        </w:rPr>
        <w:t>Note 1. T</w:t>
      </w:r>
      <w:r>
        <w:rPr>
          <w:rFonts w:ascii="Times New Roman;sans-serif" w:hAnsi="Times New Roman;sans-serif"/>
          <w:b w:val="false"/>
          <w:color w:val="000000"/>
          <w:sz w:val="20"/>
        </w:rPr>
        <w:t>he consolidated financial statements do not include any adjustments that might result from the outcome of this uncertainty.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Company’s auditor since 2022.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15, 2024</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Satellogic Inc.</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statements of operations and comprehensive loss, redeemable preferred stock and stockholders’ equity (deficit) and cash flows of Satellogic Inc. (the Company) for the year ended December 31, 2021, and the related notes (collectively referred to as the “consolidated financial statements”). In our opinion, the consolidated financial statements present fairly, in all material respects, the results of its operations and its cash flows for the year ended December 31, 2021, in conformity with U.S. generally accepted accounting principles.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Pistrelli, Henry Martin y Asociados S.R.L.</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PISTRELLI, HENRY MARTIN Y ASOCIADOS S.R.L.</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Member of Ernst &amp; Young Global Limited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served as the Company’s auditor from 2017 to 2022.</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City of Buenos Aires, Argentina</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SATELLOGIC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AND COMPREHENSIVE LOSS </w:t>
      </w:r>
    </w:p>
    <w:tbl>
      <w:tblPr>
        <w:tblW w:w="9068" w:type="dxa"/>
        <w:jc w:val="left"/>
        <w:tblInd w:w="0" w:type="dxa"/>
        <w:tblLayout w:type="fixed"/>
        <w:tblCellMar>
          <w:top w:w="28" w:type="dxa"/>
          <w:left w:w="28" w:type="dxa"/>
          <w:bottom w:w="28" w:type="dxa"/>
          <w:right w:w="28" w:type="dxa"/>
        </w:tblCellMar>
      </w:tblPr>
      <w:tblGrid>
        <w:gridCol w:w="1867"/>
        <w:gridCol w:w="1643"/>
        <w:gridCol w:w="1649"/>
        <w:gridCol w:w="219"/>
        <w:gridCol w:w="742"/>
        <w:gridCol w:w="109"/>
        <w:gridCol w:w="109"/>
        <w:gridCol w:w="109"/>
        <w:gridCol w:w="109"/>
        <w:gridCol w:w="219"/>
        <w:gridCol w:w="742"/>
        <w:gridCol w:w="109"/>
        <w:gridCol w:w="109"/>
        <w:gridCol w:w="109"/>
        <w:gridCol w:w="109"/>
        <w:gridCol w:w="219"/>
        <w:gridCol w:w="742"/>
        <w:gridCol w:w="154"/>
      </w:tblGrid>
      <w:tr>
        <w:trPr/>
        <w:tc>
          <w:tcPr>
            <w:tcW w:w="1867"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 xml:space="preserve">(in thousands of U.S. dollars, except share and per share amounts)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exclusive of depreciation shown separately below</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(69,403)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(90,867)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(68,635)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 net</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income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financial instruments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Loss before income tax</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(51,936)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(32,068)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(96,537)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loss available to stockholders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(61,018)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(36,641)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(96,305)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loss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 (loss), net of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(60,739)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(36,867)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(96,391)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loss per share for the period attributable to stockholders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Basic weighted-average common shares outstanding </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89,539,910 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83,188,276 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16,655,634 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loss per share for the period attributable to stockholders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Diluted weighted-average common shares outstanding </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89,539,910 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83,798,149 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16,655,634 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SATELLOGIC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3219"/>
        <w:gridCol w:w="2291"/>
        <w:gridCol w:w="2299"/>
        <w:gridCol w:w="196"/>
        <w:gridCol w:w="661"/>
        <w:gridCol w:w="109"/>
        <w:gridCol w:w="109"/>
        <w:gridCol w:w="109"/>
        <w:gridCol w:w="109"/>
        <w:gridCol w:w="196"/>
        <w:gridCol w:w="751"/>
        <w:gridCol w:w="156"/>
      </w:tblGrid>
      <w:tr>
        <w:trPr/>
        <w:tc>
          <w:tcPr>
            <w:tcW w:w="321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 of U.S. dollars, except per share amounts)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of $126 and $3,237, respectively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26,550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81,240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76,382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143,855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21,392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30,072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24,707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37,657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Commitments and contingencies (Note 20) </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Ordinary Shares, $0.0001 par value, unlimited shares authorized, 77,289,166 Class A ordinary shares issued and 76,721,343 shares outstanding; and 13,582,642 convertible Class B ordinary shares issued and outstanding as of December 31, 2023 and 76,180,618 Class A ordinary shares issued and 75,612,795 shares outstanding and 13,582,642 convertible Class B ordinary shares issued and outstanding as of December 31, 2022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567,823 shares as of December 31, 2023 and 567,823 shares as of December 31, 2022</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51,675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106,198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76,382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143,855</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REDEEMABLE PREFERRED STOCK AND STOCKHOLDERS' EQUITY (DEFICIT)</w:t>
      </w:r>
    </w:p>
    <w:tbl>
      <w:tblPr>
        <w:tblW w:w="11443" w:type="dxa"/>
        <w:jc w:val="center"/>
        <w:tblInd w:w="0" w:type="dxa"/>
        <w:tblLayout w:type="fixed"/>
        <w:tblCellMar>
          <w:top w:w="28" w:type="dxa"/>
          <w:left w:w="28" w:type="dxa"/>
          <w:bottom w:w="28" w:type="dxa"/>
          <w:right w:w="28" w:type="dxa"/>
        </w:tblCellMar>
      </w:tblPr>
      <w:tblGrid>
        <w:gridCol w:w="516"/>
        <w:gridCol w:w="282"/>
        <w:gridCol w:w="283"/>
        <w:gridCol w:w="271"/>
        <w:gridCol w:w="271"/>
        <w:gridCol w:w="224"/>
        <w:gridCol w:w="109"/>
        <w:gridCol w:w="109"/>
        <w:gridCol w:w="109"/>
        <w:gridCol w:w="181"/>
        <w:gridCol w:w="406"/>
        <w:gridCol w:w="109"/>
        <w:gridCol w:w="109"/>
        <w:gridCol w:w="109"/>
        <w:gridCol w:w="109"/>
        <w:gridCol w:w="109"/>
        <w:gridCol w:w="109"/>
        <w:gridCol w:w="109"/>
        <w:gridCol w:w="325"/>
        <w:gridCol w:w="220"/>
        <w:gridCol w:w="221"/>
        <w:gridCol w:w="109"/>
        <w:gridCol w:w="109"/>
        <w:gridCol w:w="109"/>
        <w:gridCol w:w="345"/>
        <w:gridCol w:w="225"/>
        <w:gridCol w:w="226"/>
        <w:gridCol w:w="109"/>
        <w:gridCol w:w="109"/>
        <w:gridCol w:w="109"/>
        <w:gridCol w:w="181"/>
        <w:gridCol w:w="586"/>
        <w:gridCol w:w="109"/>
        <w:gridCol w:w="109"/>
        <w:gridCol w:w="109"/>
        <w:gridCol w:w="109"/>
        <w:gridCol w:w="181"/>
        <w:gridCol w:w="406"/>
        <w:gridCol w:w="109"/>
        <w:gridCol w:w="109"/>
        <w:gridCol w:w="109"/>
        <w:gridCol w:w="109"/>
        <w:gridCol w:w="257"/>
        <w:gridCol w:w="578"/>
        <w:gridCol w:w="156"/>
        <w:gridCol w:w="109"/>
        <w:gridCol w:w="109"/>
        <w:gridCol w:w="109"/>
        <w:gridCol w:w="181"/>
        <w:gridCol w:w="581"/>
        <w:gridCol w:w="109"/>
        <w:gridCol w:w="109"/>
        <w:gridCol w:w="109"/>
        <w:gridCol w:w="109"/>
        <w:gridCol w:w="191"/>
        <w:gridCol w:w="605"/>
        <w:gridCol w:w="165"/>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 Series X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5"/>
              </w:rPr>
            </w:pPr>
            <w:r>
              <w:rPr>
                <w:rFonts w:ascii="Times New Roman;sans-serif" w:hAnsi="Times New Roman;sans-serif"/>
                <w:b/>
                <w:i/>
                <w:color w:val="000000"/>
                <w:sz w:val="15"/>
              </w:rPr>
              <w:t>(in thousands of U.S. dollars, except share information)</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br/>
              <w:t>(deficit)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as of December 31, 2020</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8,740,398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16,280,360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64,041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(89,869)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(25,828)</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Redeemable Series X preferred stock</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2,033,230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Dividends on Redeemable Series X preferred stock </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Extinguishment of Convertible Notes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39,009</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Exercise of stock options </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1,102,494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791</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Preferred stockholder transaction (Note 11)</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(4,128,413)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(189,200)</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(96,305)</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Comprehensive loss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Stock-based compensation </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10,881</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as of December 31, 2021</w:t>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2,033,230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21,306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4,611,985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17,382,854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96,471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(170,949)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(86)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(186,174)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(260,738)</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Hannover Holdings Transaction (Note 11)</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(149,817)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(51,700)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(5,853)</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Merger transaction and Reverse Recapitalization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(4,462,168)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22,630,545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(165,804)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5,145</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Class A ordinary shares upon conversion of Convertible Notes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17,980,954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64,051</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Redeemable Series X preferred stock accrued dividends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of redeemable Series X preferred stock and accrued dividends in connection with the Reverse Recapitalization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(2,033,230)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2,140,340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21,403</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Reclassification of Columbia Warrant to equity</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124,805</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Repayment of Columbia Loan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(3,418)</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Reclassification of Forfeiture Earnout Liability to equity</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1,005</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Class A ordinary shares upon conversion of Cantor Loan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788,021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7,880</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Class A ordinary shares in connection with Forward Purchase Agreement</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10,000</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Class A ordinary shares in connection with PIPE, net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6,108,332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47,028</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Class A ordinary shares in connection with Liberty Subscription Agreement, net</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20,619,835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120,506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120,506</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Repurchase of shares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(516,123)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(2,750)</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Ordinary Shares upon exercise of Public Warrants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613,111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5,628</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(36,641)</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loss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(226)</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additional shares related to Cantor Loan Earnout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Exercise of stock options and RSUs vested</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223,218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144</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Withholding of stock units to satisfy tax withholding obligations upon the vesting of restricted stock units and exercise of stock options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(306)</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Stock-based compensation </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8,368</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as of December 31, 2022</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89,195,437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337,928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(8,603)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(312)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(222,815)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106,198</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w:t>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(61,018)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(61,018)</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loss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Exercise of stock options and RSUs vested</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1,108,548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tbl>
      <w:tblPr>
        <w:tblW w:w="10432" w:type="dxa"/>
        <w:jc w:val="center"/>
        <w:tblInd w:w="0" w:type="dxa"/>
        <w:tblLayout w:type="fixed"/>
        <w:tblCellMar>
          <w:top w:w="28" w:type="dxa"/>
          <w:left w:w="28" w:type="dxa"/>
          <w:bottom w:w="28" w:type="dxa"/>
          <w:right w:w="28" w:type="dxa"/>
        </w:tblCellMar>
      </w:tblPr>
      <w:tblGrid>
        <w:gridCol w:w="381"/>
        <w:gridCol w:w="282"/>
        <w:gridCol w:w="283"/>
        <w:gridCol w:w="115"/>
        <w:gridCol w:w="115"/>
        <w:gridCol w:w="116"/>
        <w:gridCol w:w="109"/>
        <w:gridCol w:w="109"/>
        <w:gridCol w:w="109"/>
        <w:gridCol w:w="181"/>
        <w:gridCol w:w="406"/>
        <w:gridCol w:w="109"/>
        <w:gridCol w:w="109"/>
        <w:gridCol w:w="109"/>
        <w:gridCol w:w="109"/>
        <w:gridCol w:w="109"/>
        <w:gridCol w:w="109"/>
        <w:gridCol w:w="109"/>
        <w:gridCol w:w="115"/>
        <w:gridCol w:w="115"/>
        <w:gridCol w:w="116"/>
        <w:gridCol w:w="109"/>
        <w:gridCol w:w="109"/>
        <w:gridCol w:w="109"/>
        <w:gridCol w:w="264"/>
        <w:gridCol w:w="264"/>
        <w:gridCol w:w="268"/>
        <w:gridCol w:w="109"/>
        <w:gridCol w:w="109"/>
        <w:gridCol w:w="109"/>
        <w:gridCol w:w="181"/>
        <w:gridCol w:w="661"/>
        <w:gridCol w:w="109"/>
        <w:gridCol w:w="109"/>
        <w:gridCol w:w="109"/>
        <w:gridCol w:w="109"/>
        <w:gridCol w:w="181"/>
        <w:gridCol w:w="496"/>
        <w:gridCol w:w="109"/>
        <w:gridCol w:w="109"/>
        <w:gridCol w:w="109"/>
        <w:gridCol w:w="109"/>
        <w:gridCol w:w="181"/>
        <w:gridCol w:w="301"/>
        <w:gridCol w:w="109"/>
        <w:gridCol w:w="181"/>
        <w:gridCol w:w="211"/>
        <w:gridCol w:w="109"/>
        <w:gridCol w:w="181"/>
        <w:gridCol w:w="646"/>
        <w:gridCol w:w="109"/>
        <w:gridCol w:w="109"/>
        <w:gridCol w:w="109"/>
        <w:gridCol w:w="109"/>
        <w:gridCol w:w="181"/>
        <w:gridCol w:w="586"/>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Withholding of stock units to satisfy tax withholding obligations upon the vesting of restricted stock units and exercise of stock options</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as of December 31, 2023</w:t>
            </w:r>
          </w:p>
        </w:tc>
        <w:tc>
          <w:tcPr>
            <w:tcW w:w="3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90,303,985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344,144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(8,603)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(283,833)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51,675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76" w:before="0" w:after="340"/>
        <w:jc w:val="left"/>
        <w:rPr/>
      </w:pPr>
      <w:hyperlink w:anchor="iaaaca00e571c4218bebd1a008f6effc5_7">
        <w:r>
          <w:rPr>
            <w:rStyle w:val="InternetLink"/>
          </w:rPr>
          <w:t xml:space="preserve">Table of </w:t>
        </w:r>
      </w:hyperlink>
      <w:hyperlink w:anchor="iaaaca00e571c4218bebd1a008f6effc5_7">
        <w:r>
          <w:rPr>
            <w:rStyle w:val="InternetLink"/>
          </w:rPr>
          <w:t>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tbl>
      <w:tblPr>
        <w:tblW w:w="9057" w:type="dxa"/>
        <w:jc w:val="left"/>
        <w:tblInd w:w="0" w:type="dxa"/>
        <w:tblLayout w:type="fixed"/>
        <w:tblCellMar>
          <w:top w:w="28" w:type="dxa"/>
          <w:left w:w="28" w:type="dxa"/>
          <w:bottom w:w="28" w:type="dxa"/>
          <w:right w:w="28" w:type="dxa"/>
        </w:tblCellMar>
      </w:tblPr>
      <w:tblGrid>
        <w:gridCol w:w="1911"/>
        <w:gridCol w:w="1681"/>
        <w:gridCol w:w="1688"/>
        <w:gridCol w:w="196"/>
        <w:gridCol w:w="721"/>
        <w:gridCol w:w="109"/>
        <w:gridCol w:w="109"/>
        <w:gridCol w:w="109"/>
        <w:gridCol w:w="109"/>
        <w:gridCol w:w="196"/>
        <w:gridCol w:w="721"/>
        <w:gridCol w:w="109"/>
        <w:gridCol w:w="109"/>
        <w:gridCol w:w="109"/>
        <w:gridCol w:w="109"/>
        <w:gridCol w:w="196"/>
        <w:gridCol w:w="721"/>
        <w:gridCol w:w="154"/>
      </w:tblGrid>
      <w:tr>
        <w:trPr/>
        <w:tc>
          <w:tcPr>
            <w:tcW w:w="191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 of U.S. dollars)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expense (benefit)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financial instruments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Expenses related to Merger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differences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 for estimated credit losses on 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change in contract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(49,571)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(68,462)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(28,439)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 in OS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(14,435)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(30,852)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(11,230)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redeemable Series X preferred stock</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stock</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vested equity-based compensation awards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Public Warrants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Ordinary Shares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164,336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28,636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24,603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77,792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8,533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Nature of the Business and Basis of Presentation</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Nature of the Business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25, 2022 (the “Closing Date”), Satellogic Inc. (“Satellogic” or the “Company”), a BVI business company incorporated in the BVI as a company limited by shares, consummated the transactions contemplated by the Agreement and Plan of Merger dated as of July 5, 2021 (the “Merger Agreement”), by and among the Company, CF Acquisition Corp. V, a Delaware corporation (“CF V” and now known as “Satellogic V Inc.”), Ganymede Merger Sub 1 Inc., a BVI business company incorporated in the BVI as a company limited by shares and a direct wholly owned subsidiary of the Company, Ganymede Merger Sub 2 Inc., a Delaware corporation and a direct wholly owned subsidiary of the Company, and Nettar.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Nettar was, prior to the transaction, the holding company of the Satellogic group and was incorporated on October 7, 2014, under the laws of the BVI as a company limited by shares. The registered office of Satellogic is located at Kingston Chambers BOX 173 C/O Maples Corporate Services BVI LTD Road Town, Tortola D8 VG1110.</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References to “Nettar” contained herein refer to Nettar Group Inc. prior to the mergers, and references to “the Company,” “we,” “our,” “us” or “Satellogic” refer to Satellogic Inc. prior to the mergers and to the combined company following the mergers.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subsidiaries, we invest in the software, hardware, and optics of the aerospace industry focusing on satellite and image analytics technologies. Our strategy is to build a planetary scale analytics platform based on a proprietary satellite constellation with the capability to generate insights from images and information, with focus on multi-temporal analysis and high frequency of revisits. We also intend to leverage our ability to quickly build and launch high quality, sub-meter satellites at a low cost by selling satellites to certain key customers.</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as of December 31, 2023 and 2022 and for the years ended December 31, 2023, 2022 and 2021 (“the Consolidated Financial Statements”) have been prepared in accordance with generally accepted accounting principles in the United States (“U.S. GAAP”) and the rules and regulations of the U.S. Securities and Exchange Commission (“SEC”). The Company conducts business through one operating segment.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our accounts and those of our wholly owned subsidiaries. All intercompany accounts and transactions, including the intercompany portion of transactions with equity method investees, have been eliminated in consolidation. The Consolidated Financial Statements are presented in United States dollars (hereinafter “U.S. dollars” or “$”).</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prior year amounts have been reclassified to conform to the current year presentation.</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Emerging Growth Company</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Section 2(a) of the Securities Act of 1933, as amended (“the Securities Act”), as modified by the Jumpstart Our Business Startups Act of 2012 (the “JOBS Act”).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that has different application dates for public or private companies, we can adopt the new or revised standard at the time required for private companies to adopt such standard. The foregoing may make comparison of our financial statements with those of another public company difficult or impossible if such other public company is (i) not an emerging growth company or (ii) is an emerging growth company that has opted out of using the extended transition period, due to the potential differences in accounting standards used.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Going Concern and Liquidity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evaluated whether there are any conditions and events, considered in the aggregate, that raise substantial doubt about our ability to continue as a going concern over the next twelve months through March 2025. Since inception, we have incurred significant operating losses and have an accumulated deficit of $283.8 million, with net cash used in operating activities of $49.6 million for the twelve months ended December 31, 2023. As of December 31, 2023, our existing sources of liquidity included cash and cash equivalents of $23.5 million. We believe that this current level of cash and cash equivalents is not sufficient to fund operations and capital expenditures to reach larger scale revenue generation from our product offerings.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for us to proceed and reach larger scale revenue generation, we will need to raise additional funds through the issuance of additional equity, debt or both. Until such time that we can generate revenue sufficient to achieve profitability, we expect to finance our operations through equity or debt financings, which may not be available to us on the timing needed or on terms that we deem to be favorable. To the extent that we raise additional capital through the sale of equity or convertible debt securities, the ownership interest of our stockholders may be diluted, and the terms of these securities may include liquidation or other preferences that adversely affect the rights of common stockholders. Debt financing and equity financing, if available, may involve agreements that include covenants limiting or restricting our ability to take specific actions, such as incurring additional debt, making acquisitions or capital expenditures or declaring dividends. If we are unable to obtain sufficient financial resources, our business, financial condition and results of operations will be materially and adversely affected. There can be no assurance that we will be able to obtain the needed financing on acceptable terms or at all. In an effort to alleviate these conditions, we continue to seek and evaluate opportunities to raise additional capital through the issuance of equity or debt securities.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12, 2024, the Company, Borrower, and Holder Representative entered into the Note Purchase Agreement with the Purchaser, pursuant to which the Borrower agreed to issue the Secured Convertible Notes in the aggregate principal amount of $30 million to the Purchaser. The net proceeds from the issuance of the Secured Convertible Notes, after deducting transaction fees and other debt issuance costs, was approximately $27.6 million. The Secured Convertible Notes initially bear interest at a rate of SOFR plus 6.50% per annum, subject to an additional 4.0% per annum if certain events of default occur and are continuing. The Secured Convertible Notes are guaranteed by the Company and each of the Company’s material subsidiaries (other than the Borrower), and are secured by substantially all of the Company’s and its subsidiaries’ assets (including all of its intellectual property). The Borrower may issue additional Secured Convertible Notes under the terms thereof, provided the aggregate principal outstanding amount does not exceed $50 million. The Secured Convertible Notes mature on April 12, 2028.</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been able to secure debt financing of approximately $27.6 million during the second quarter of 2024, we do not believe this incremental funding will be sufficient to fund our operations for the next twelve months through April 2025. As a result of these uncertainties, and notwithstanding our plans and efforts to date, there is substantial doubt about our ability to continue as a going concern for one year from the date of when these audited consolidated financial statements are issued. If we are unable to raise additional capital as and when needed, or upon acceptable terms, such failure would have a significant negative impact on our financial condition. As such, these conditions raise substantial doubt about the Company’s ability to continue as a going concern.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audited consolidated financial statements have been prepared assuming we will continue as a going concern. The going concern basis of presentation assumes that we will continue in operation one year after the date these audited consolidated financial statements are issued, and we will be able to realize its assets and discharge its liabilities and commitments in the normal course of business. If we cannot continue as a going concern, adjustments to the carrying values and classification of our assets and liabilities and the reported amounts of income and expenses could be required and could be material. We are continuing to take actions to secure sufficient financing (as described above) and thus believe that the application of the going concern assumption for the preparation of the consolidated financial statements is appropriate.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Consolidated Financial Statements in conformity with U.S. GAAP requires management to make estimates and assumptions that affect the reported amounts of assets and liabilities, the disclosure of contingent liabilities at the date of the financial statements, and the reported amounts of revenue and expenses during the reporting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estimates and assumptions reflected in these Consolidated Financial Statements include, but are not limited to, revenue recognition; determination of useful lives of property and equipment; valuation of warrant liabilities, earnout liabilities, stock options; and determination of income tax. We evaluate our estimates and assumptions on an ongoing basis. Actual results could differ from those estimates and such differences may be material to the Consolidated Financial Statements.</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 Recognition</w:t>
      </w:r>
    </w:p>
    <w:p>
      <w:pPr>
        <w:pStyle w:val="TextBody"/>
        <w:bidi w:val="0"/>
        <w:spacing w:lineRule="auto" w:line="276" w:before="240" w:after="283"/>
        <w:jc w:val="both"/>
        <w:rPr/>
      </w:pPr>
      <w:r>
        <w:rPr>
          <w:rFonts w:ascii="Times New Roman;sans-serif" w:hAnsi="Times New Roman;sans-serif"/>
          <w:b w:val="false"/>
          <w:color w:val="000000"/>
          <w:sz w:val="20"/>
        </w:rPr>
        <w:t xml:space="preserve">We recognize revenue in accordance with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 xml:space="preserve">Revenue is recognized when a customer obtains control of promised goods or services. In addition, the standard requires disclosure of the nature, amount, timing, and uncertainty of revenue and cash flows arising from contracts with customers. The amount of revenue that is recorded reflects the consideration that we expect to receive in exchange for goods or services provided under such contracts. We apply the following five-step model in order to determine this amount: (i) identification of the promised goods in the contract; (ii) determination of whether the promised goods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main revenue stream is from services. We recognize as revenues the amount of the transaction price that is allocated to the respective performance obligation when or as the performance obligation is satisfied, either over time or a point in time. Revenue is recognized upon delivery for asset monitoring contracts in which performance obligations are satisfied at a point in time upon image delivery. The Company has determined that it provides a series of distinct services in which the customer simultaneously receives and consumes data, so therefore the Company recognizes revenue ratably over the subscription period. For Space Systems contracts, revenue is typically recognized at a point in time, upon delivery of equipment.</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nature of our contracts does not currently give rise to variable consideration related to returns or refunds as those are not offered.</w:t>
      </w:r>
    </w:p>
    <w:p>
      <w:pPr>
        <w:pStyle w:val="TextBody"/>
        <w:bidi w:val="0"/>
        <w:spacing w:lineRule="auto" w:line="276" w:before="240" w:after="283"/>
        <w:jc w:val="both"/>
        <w:rPr/>
      </w:pPr>
      <w:r>
        <w:rPr>
          <w:rFonts w:ascii="Times New Roman;sans-serif" w:hAnsi="Times New Roman;sans-serif"/>
          <w:b w:val="false"/>
          <w:color w:val="000000"/>
          <w:sz w:val="20"/>
          <w:shd w:fill="FFFFFF" w:val="clear"/>
        </w:rPr>
        <w:t>We evaluate contracts with a minimum purchase commitment to determine whether we expect to be entitled to a breakage amount. We consider the requirements on constraining estimates variable consideration. The following factors are evaluated when assessing the increased likelihood of a significant revenue reversal: (i) the amount of consideration is highly susceptible to factors outside our influence or control (</w:t>
      </w:r>
      <w:r>
        <w:rPr>
          <w:rFonts w:ascii="Times New Roman;sans-serif" w:hAnsi="Times New Roman;sans-serif"/>
          <w:b w:val="false"/>
          <w:i/>
          <w:color w:val="000000"/>
          <w:sz w:val="20"/>
          <w:shd w:fill="FFFFFF" w:val="clear"/>
        </w:rPr>
        <w:t>e.g.,</w:t>
      </w:r>
      <w:r>
        <w:rPr>
          <w:color w:val="000000"/>
          <w:shd w:fill="FFFFFF" w:val="clear"/>
        </w:rPr>
        <w:t xml:space="preserve"> </w:t>
      </w:r>
      <w:r>
        <w:rPr>
          <w:rFonts w:ascii="Times New Roman;sans-serif" w:hAnsi="Times New Roman;sans-serif"/>
          <w:b w:val="false"/>
          <w:color w:val="000000"/>
          <w:sz w:val="20"/>
          <w:shd w:fill="FFFFFF" w:val="clear"/>
        </w:rPr>
        <w:t>volatility in a market, judgment of action of third parties, weather conditions), (ii) uncertainty about the amount of consideration is not expected to be resolved for a long period of time, (iii) our experience with similar types of contracts is limited, or that experience has limited predictive value, (iv) we have a practice of either offering a broad range of price concessions or changing the payment terms and conditions of similar contracts in similar circumstances, and (v) the contract has a large number and broad range of possible consideration amounts.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exclude amounts collected on behalf of third parties, such as sales taxes, when determining transaction price.</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Contract liabilities consist of payments received from customers, or such consideration that is contractually due, in advance of providing the product or performing services.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generally do not enter into long-term financing arrangements or payment plans with customers. Although our business practice is not to enter into contracts with non-cash consideration, at times this may occur. In these instances, we determine the fair value of the non-cash consideration at contract inception and includes this value as part of the total arrangement consideration. In instances where we cannot reasonably estimate the fair value of the non-cash consideration, we will measure the consideration indirectly by reference to its stand-alone selling price of the goods promised to the customer in exchange for consideration.</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Fair Value Measurement</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Certain assets and liabilities are carried at fair value in accordance with U.S.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Valuation techniques used to measure fair value requires us to utilize observable and unobservable inputs. The hierarchy gives the highest priority to quoted prices in active markets for identical assets or liabilities (Level 1 measurements) and the lowest priority to unobservable inputs (Level 3 measurements). Financial instruments carried at fair value are to be classified and disclosed in one of the following three levels of the fair value hierarchy, of which the first two are considered observable and the last is considered unobservable:</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Level 1: Quoted prices in active markets for identical assets or liabilities.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Level 2: Valuation techniques for which the lowest level input that is significant to the fair value measurement is directly or indirectly observable.</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Level 3: Valuation techniques for which the lowest level input that is significant to the fair value measurement is unobservable.</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Assets and liabilities recognized at fair value on a recurring basis in the Consolidated Financial Statements are re-assessed at the end of each reporting period to determine whether any transfers have occurred between levels in the hierarchy.</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fair value disclosures, classes of assets and liabilities are based on the nature, characteristics and risks of the asset or liability and the level of the fair value hierarchy.</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risk management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risk is the risk that a counterparty fails to discharge an obligation to us. We are exposed to credit risk from financial assets including cash, cash equivalents and restricted cash held at banks, trade and other receivables.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risk is managed based on our credit risk management policies and procedures. Credit risk of any entity doing business with us is systematically analyzed, including aspects of a qualitative nature. The measurement and assessment of our total exposure to credit risk covers all financial instruments involving any counterparty risk.</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credit risk in respect of cash balances held with banks and deposits with banks are managed via diversification of bank deposits and are only with major reputable financial institutions.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As our risk exposure is mainly influenced by the individual characteristics of each customer, we continuously analyze the creditworthiness of significant debtors. Accounts receivable are non-interest bearing and generally on terms of 30 to 90 days. As of December 31, 2023 </w:t>
      </w:r>
      <w:r>
        <w:rPr>
          <w:rFonts w:ascii="Times New Roman;sans-serif" w:hAnsi="Times New Roman;sans-serif"/>
          <w:b w:val="false"/>
          <w:color w:val="000000"/>
          <w:sz w:val="18"/>
        </w:rPr>
        <w:t>two</w:t>
      </w:r>
      <w:r>
        <w:rPr>
          <w:color w:val="000000"/>
        </w:rPr>
        <w:t xml:space="preserve"> </w:t>
      </w:r>
      <w:r>
        <w:rPr>
          <w:rFonts w:ascii="Times New Roman;sans-serif" w:hAnsi="Times New Roman;sans-serif"/>
          <w:b w:val="false"/>
          <w:color w:val="000000"/>
          <w:sz w:val="20"/>
        </w:rPr>
        <w:t xml:space="preserve">customers, accounted for 78% of accounts receivable, net of allowance. As of December 31, 2022, </w:t>
      </w:r>
      <w:r>
        <w:rPr>
          <w:rFonts w:ascii="Times New Roman;sans-serif" w:hAnsi="Times New Roman;sans-serif"/>
          <w:b w:val="false"/>
          <w:color w:val="000000"/>
          <w:sz w:val="18"/>
        </w:rPr>
        <w:t>one</w:t>
      </w:r>
      <w:r>
        <w:rPr>
          <w:color w:val="000000"/>
        </w:rPr>
        <w:t xml:space="preserve"> </w:t>
      </w:r>
      <w:r>
        <w:rPr>
          <w:rFonts w:ascii="Times New Roman;sans-serif" w:hAnsi="Times New Roman;sans-serif"/>
          <w:b w:val="false"/>
          <w:color w:val="000000"/>
          <w:sz w:val="20"/>
        </w:rPr>
        <w:t>customer accounted for 72% of our accounts receivable net of allowance.</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We had four customers that each accounted for more than 10% of our revenue totaling $8.4 million for the year ended December 31, 2023 and two customers </w:t>
      </w:r>
      <w:r>
        <w:rPr>
          <w:rFonts w:ascii="Times New Roman;sans-serif" w:hAnsi="Times New Roman;sans-serif"/>
          <w:b w:val="false"/>
          <w:color w:val="000000"/>
          <w:sz w:val="18"/>
        </w:rPr>
        <w:t xml:space="preserve">that each </w:t>
      </w:r>
      <w:r>
        <w:rPr>
          <w:rFonts w:ascii="Times New Roman;sans-serif" w:hAnsi="Times New Roman;sans-serif"/>
          <w:b w:val="false"/>
          <w:color w:val="000000"/>
          <w:sz w:val="20"/>
        </w:rPr>
        <w:t xml:space="preserve">accounted for more than 10% of our revenue totaling $4.8 million for the year ended December 31, 2022. We had one </w:t>
      </w:r>
      <w:r>
        <w:rPr>
          <w:rFonts w:ascii="Times New Roman;sans-serif" w:hAnsi="Times New Roman;sans-serif"/>
          <w:b w:val="false"/>
          <w:color w:val="000000"/>
          <w:sz w:val="18"/>
        </w:rPr>
        <w:t>customer</w:t>
      </w:r>
      <w:r>
        <w:rPr>
          <w:color w:val="000000"/>
        </w:rPr>
        <w:t xml:space="preserve"> </w:t>
      </w:r>
      <w:r>
        <w:rPr>
          <w:rFonts w:ascii="Times New Roman;sans-serif" w:hAnsi="Times New Roman;sans-serif"/>
          <w:b w:val="false"/>
          <w:color w:val="000000"/>
          <w:sz w:val="20"/>
        </w:rPr>
        <w:t>that accounted for more than 10% of our revenue totaling $3.9 million for the year ended December 31, 2021.</w:t>
      </w:r>
    </w:p>
    <w:p>
      <w:pPr>
        <w:pStyle w:val="TextBody"/>
        <w:bidi w:val="0"/>
        <w:spacing w:lineRule="auto" w:line="276"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Impairment of Assets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potential impairments to long-lived assets whenever events or changes in circumstances indicate that the carrying amount may not be fully recoverable. An impairment is considered to exist if the total estimated future cash flows on an undiscounted basis are less than the carrying amount of the assets or asset group. We performed an impairment test as of December 31, 2023, 2022 and 2021 due to our net loss for those years and concluded that the asset group is not impaired.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of future cash flows are highly subjective judgments based on management’s experience and knowledge of the Company's operations. These estimates can be significantly impacted by many factors, including changes in global economic conditions, operating costs, obsolescence of technology and competition.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estimates or underlying assumptions change in the future, we may be required to record impairment charges. If the fair value of an asset group is less than its carrying amount, then the carrying amount of the asset group would be reduced to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That reduction is an impairment loss that would be recognized in the Consolidated Statements of Operations and Comprehensive Loss.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Equity Method Investments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equity investments in which we have significant influence, but not a controlling financial interest, using the equity method of accounting. Under the equity method of accounting, investments are initially recorded at cost, less impairment, and subsequently adjusted to recognize our share of earnings or losses as a component of Other income (expense), net in the Consolidated Statements of Operations and Comprehensive Loss. Our equity method investments are required to be reviewed for impairment when it is determined there may be an other-than-temporary loss in value. We have not recorded any impairment losses related to our equity method investments during the years ended December 31, 2023 and December 31, 2022. We did not hold any equity investments in 2021.</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measure and recognize all stock-based compensation expense based on estimated fair values for all stock-based awards made to employees and non-employees. Compensation cost is recognized over the requisite service period for each separate tranche, as though each tranche of the award is, in substance, a separate award. The expense calculation includes estimated forfeiture rates, which have been developed based upon historical experience.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for stock options are calculated using the Black-Scholes option pricing model using the following inputs: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i/>
          <w:color w:val="000000"/>
          <w:sz w:val="20"/>
        </w:rPr>
        <w:t xml:space="preserve">Expected term - </w:t>
      </w:r>
      <w:r>
        <w:rPr>
          <w:rFonts w:ascii="Times New Roman;sans-serif" w:hAnsi="Times New Roman;sans-serif"/>
          <w:b w:val="false"/>
          <w:color w:val="000000"/>
          <w:sz w:val="20"/>
        </w:rPr>
        <w:t>The simplified method is used to calculate the expected term.</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i/>
          <w:color w:val="000000"/>
          <w:sz w:val="20"/>
        </w:rPr>
        <w:t xml:space="preserve">Expected volatility - </w:t>
      </w:r>
      <w:r>
        <w:rPr>
          <w:rFonts w:ascii="Times New Roman;sans-serif" w:hAnsi="Times New Roman;sans-serif"/>
          <w:b w:val="false"/>
          <w:color w:val="000000"/>
          <w:sz w:val="20"/>
        </w:rPr>
        <w:t>We determine the expected stock price volatility based on the historical volatilities of guideline companies from comparable industries.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i/>
          <w:color w:val="000000"/>
          <w:sz w:val="20"/>
        </w:rPr>
        <w:t xml:space="preserve">Expected dividend yield - </w:t>
      </w:r>
      <w:r>
        <w:rPr>
          <w:rFonts w:ascii="Times New Roman;sans-serif" w:hAnsi="Times New Roman;sans-serif"/>
          <w:b w:val="false"/>
          <w:color w:val="000000"/>
          <w:sz w:val="20"/>
        </w:rPr>
        <w:t>We do not use a dividend rate due to the fact that we have never declared or paid cash dividends on the Company’s Ordinary Shares and we do not anticipate doing so in the foreseeable future.</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i/>
          <w:color w:val="000000"/>
          <w:sz w:val="20"/>
        </w:rPr>
        <w:t xml:space="preserve">Risk-free interest rate - </w:t>
      </w:r>
      <w:r>
        <w:rPr>
          <w:rFonts w:ascii="Times New Roman;sans-serif" w:hAnsi="Times New Roman;sans-serif"/>
          <w:b w:val="false"/>
          <w:color w:val="000000"/>
          <w:sz w:val="20"/>
        </w:rPr>
        <w:t>We base our interest rate on a treasury instrument for which the term is commensurate with the maximum expected life of the stock options.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for restricted stock units ("RSUs") with service-based vesting conditions are calculated based upon our closing stock price on the date of the grant.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Foreign Currencies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position and results of operations of certain of our foreign subsidiaries are measured using the local currency as the functional currency. Revenues and expenses of these subsidiaries have been translated into U.S. dollars at average exchange rates prevailing during the period. Assets and liabilities of these subsidiaries have been translated at the exchange rates as of the balance sheet date. Translation gains and losses are recorded in accumulated other comprehensive loss.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Aggregate foreign currency gains and losses, such as those resulting from the settlement of receivables or payables, foreign currency contracts and short-term intercompany advances in a currency other than the relevant subsidiary’s functional currency, are recorded currently in the Consolidated Statements of Operations and Comprehensive Loss (included in other income, net) and resulted in gains of $5.3 million, $1.6 million, and $1.0 million during the years ended December 31, 2023, 2022, and 2021, respectively. </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Leases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determine if a contract is a lease or contains a lease at inception. On the lease commencement date, we recognize a right-of-use (“ROU”) asset and lease liability related to operating type leases. The cost of ROU assets includes the amount of lease liabilities recognized, initial direct costs incurred, and lease payments made at or before the commencement date less any lease incentives received. Operating lease liabilities are recorded based on the present value of the future lease fixed payments. In determining the present value of future lease payments, we use our incremental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borrowing rate applicable to the economic environment and the duration of the lease based on the information available at the commencement date as the majority of leases do not provide an implicit rate. For real estate and equipment contracts, we generally account for the lease and non-lease components as a single lease component. In assessing the lease term, we include options to renew only when we are reasonably certain that such option(s) will be exercised; a determination which is at our sole discretion. Variable lease payments are recognized as expenses in the period incurred. For leases with an initial term of 12 months or less, we have elected to not record an ROU asset and lease liability. We record lease expense on a straight-line basis over the shorter of the lease term and the estimated useful lives of the assets, beginning on the commencement date.</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remeasure and reallocate the consideration in a lease when there is a modification of the lease that is not accounted for as a separate contract. The lease liability is remeasured when there is a change in the lease term or in the assessment of whether we will exercise a lease option. We assess ROU assets for impairment in accordance with our long-lived asset impairment policy. </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account for lease agreements with contractually required lease and non-lease components on a combined basis. Lease payments made for cancellable leases, variable amounts that are not based on an observable index and lease agreements with an original duration of less than 12 months are recorded directly to lease expense.</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the periods presented, we do not have any financing type leases.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Accounts Receivable and Allowance for Credit Losses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Trade accounts receivable are stated at the amount owed by the customer, net of allowances for estimated credit losses, discounts, returns and rebates. We measure the allowance for credit losses based on the estimated loss. In calculating an allowance for credit losses, we use our historical experience, external indicators, forward-looking information and an aging method. Generally, we assess collectability of trade accounts receivable on a collective basis as they possess shared credit risk characteristics which have been grouped based on the days past due. For certain customers that have a large percentage of our total accounts receivable, we analyze them on a specific basis to determine expected collectability. </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Accounts are written off against the allowance account when they are determined to be no longer collectible. Of the total write-off in 2023, $3.3 million of it was reserved in prior periods. The following table shows the activity in the allowance for credit losses for the years ended December 31, 2023 and 2022:</w:t>
      </w:r>
    </w:p>
    <w:tbl>
      <w:tblPr>
        <w:tblW w:w="6204" w:type="dxa"/>
        <w:jc w:val="left"/>
        <w:tblInd w:w="0" w:type="dxa"/>
        <w:tblLayout w:type="fixed"/>
        <w:tblCellMar>
          <w:top w:w="28" w:type="dxa"/>
          <w:left w:w="28" w:type="dxa"/>
          <w:bottom w:w="28" w:type="dxa"/>
          <w:right w:w="28" w:type="dxa"/>
        </w:tblCellMar>
      </w:tblPr>
      <w:tblGrid>
        <w:gridCol w:w="1484"/>
        <w:gridCol w:w="1301"/>
        <w:gridCol w:w="1310"/>
        <w:gridCol w:w="196"/>
        <w:gridCol w:w="556"/>
        <w:gridCol w:w="109"/>
        <w:gridCol w:w="109"/>
        <w:gridCol w:w="109"/>
        <w:gridCol w:w="109"/>
        <w:gridCol w:w="196"/>
        <w:gridCol w:w="571"/>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Allowance for credit losses as of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Provision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Allowance for credit losses as of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3,237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Cash, Cash Equivalents and Restricted Cash</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Cash and cash equivalents include deposits in banks and short-term (original maturities of three months or less at the time of purchase), highly liquid investments that are readily convertible to known amounts of cash with a maturity of three months or less at the time of purchase.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Restricted cash, including amounts in Other non-current assets, represents amounts pledged as guarantees for sales and lease agreements as contractually required.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tbl>
      <w:tblPr>
        <w:tblW w:w="6098" w:type="dxa"/>
        <w:jc w:val="left"/>
        <w:tblInd w:w="0" w:type="dxa"/>
        <w:tblLayout w:type="fixed"/>
        <w:tblCellMar>
          <w:top w:w="28" w:type="dxa"/>
          <w:left w:w="28" w:type="dxa"/>
          <w:bottom w:w="28" w:type="dxa"/>
          <w:right w:w="28" w:type="dxa"/>
        </w:tblCellMar>
      </w:tblPr>
      <w:tblGrid>
        <w:gridCol w:w="1376"/>
        <w:gridCol w:w="1205"/>
        <w:gridCol w:w="1213"/>
        <w:gridCol w:w="196"/>
        <w:gridCol w:w="661"/>
        <w:gridCol w:w="109"/>
        <w:gridCol w:w="109"/>
        <w:gridCol w:w="109"/>
        <w:gridCol w:w="109"/>
        <w:gridCol w:w="196"/>
        <w:gridCol w:w="661"/>
        <w:gridCol w:w="154"/>
      </w:tblGrid>
      <w:tr>
        <w:trPr/>
        <w:tc>
          <w:tcPr>
            <w:tcW w:w="137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76,528 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non-current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24,603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77,792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Cash Flow Information</w:t>
      </w:r>
    </w:p>
    <w:tbl>
      <w:tblPr>
        <w:tblW w:w="6012" w:type="dxa"/>
        <w:jc w:val="left"/>
        <w:tblInd w:w="0" w:type="dxa"/>
        <w:tblLayout w:type="fixed"/>
        <w:tblCellMar>
          <w:top w:w="28" w:type="dxa"/>
          <w:left w:w="28" w:type="dxa"/>
          <w:bottom w:w="28" w:type="dxa"/>
          <w:right w:w="28" w:type="dxa"/>
        </w:tblCellMar>
      </w:tblPr>
      <w:tblGrid>
        <w:gridCol w:w="956"/>
        <w:gridCol w:w="838"/>
        <w:gridCol w:w="846"/>
        <w:gridCol w:w="196"/>
        <w:gridCol w:w="556"/>
        <w:gridCol w:w="109"/>
        <w:gridCol w:w="109"/>
        <w:gridCol w:w="109"/>
        <w:gridCol w:w="109"/>
        <w:gridCol w:w="196"/>
        <w:gridCol w:w="556"/>
        <w:gridCol w:w="109"/>
        <w:gridCol w:w="109"/>
        <w:gridCol w:w="109"/>
        <w:gridCol w:w="109"/>
        <w:gridCol w:w="196"/>
        <w:gridCol w:w="64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paid during the period for:</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net of refunds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costs are expensed in the period in which they are incurred. R&amp;D costs include materials and equipment that have no alternative future use, depreciation on equipment and facilities currently used for R&amp;D purposes, personnel costs, contract services and reasonable allocations of indirect costs, if clearly related to an R&amp;D activity. Expenditures in the pre-production phase of an R&amp;D project are recorded as R&amp;D expense.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Tax Collected from Customers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Taxes assessed by a governmental authority that are both imposed on and concurrent with a specific revenue-producing transaction, which are collected by the Company from customers, are excluded from revenue. </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Accounting Standards Updates (“ASU”)</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Accounting Standards Recently Adopted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FASB issued ASU No. 2016-13, Credit Losses - Measurement of Credit Losses on Financial Instruments (“ASU 2016-13”). ASU 2016-13 requires entities to use a forward-looking approach based on current expected credit losses to estimate credit losses on certain types of financial instruments, including trade receivables, resulting in an earlier recognition of losses than under the current incurred loss approach, which requires waiting to recognize a loss until it is probable of being incurred. We adopted this guidance as of January 1, 2023. The impact of adopting this new guidance was not material to the consolidated financial statements.</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Accounting Standards Not Yet Adopted</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Segment Reporting (Topic 280)—Improvements to Reportable Segment Disclosures, which aims to improve reportable segment disclosure requirements, primarily through enhanced disclosures about significant segment expenses. In addition, the amendments in the ASU enhance interim disclosure requirements, clarify circumstances in which an entity can disclose multiple segment measures of profit or loss, provide new segment disclosure requirements for entities with a single reportable segment, and contain other disclosure requirements. The ASU applies to all public entities that are required to report segment information in accordance with ASC 280, and is effective for fiscal years beginning after December 15, 2023 and interim periods within fiscal years beginning after December 15, 2024, with early adoption permitted. The Company is evaluating the future impact of the issuance of this ASU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740)—Improvements to Income Tax Disclosures, which include improvements to income tax disclosures by requiring (1) consistent categories and greater disaggregation of information in the rate reconciliation and (2) income taxes paid disaggregated by jurisdiction. This ASU also includes certain other amendments to better align disclosures with Regulation S-X and to remove disclosures no longer considered cost beneficial or relevant. This ASU is effective for public entities for annual periods beginning after December 15, 2024, with earlier or retrospective application permitted. The amendments in this ASU should be applied prospectively for annual financial statements not yet issued or made available for issuance. The Company is evaluating the future impact of the issuance of this ASU on its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Reverse Recapitalization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25, 2022, and pursuant to the Merger Agreement, the merger between the Company and CF V (the “Merger”) was accounted for as a reverse recapitalization (the “Reverse Recapitalization”) in accordance with U.S. GAAP. Under this method of accounting, CF V was treated as the “acquired” company and Satellogic was treated as the acquirer for financial reporting purposes. Accordingly, for accounting purposes, the reverse recapitalization was treated as the equivalent of the Company issuing stock for the net assets of CF V, accompanied by a recapitalization. The net assets of CF V were stated at historical cost, with no goodwill or other intangible assets recorded. Operations prior to the Merger represent those of the Company.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resulted in net cash proceeds of $168 million, after transaction expenses and debt repayment, through the contribution of cash held in CF V’s trust account, net of redemptions by CF V’s public stockholders, and a concurrent private placement offering led by SoftBank’s SBLA Advisers Corp. and CF&amp;Co., among other institutional investors, and the Liberty Investment, as defined and described further below.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the Company consummated the Merger contemplated by the Merger Agreement, including the following:</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Private Placement (“PIPE”) Investment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relevant subscription agreement, Satellogic issued 5,816,770 Class A ordinary shares and a non-redeemable warrant (“PIPE Warrant”) to purchase 2,500,000 Class A ordinary shares to a PIPE investor at an exercise price of $20.00 per share, for an aggregate purchase price of $58.2 million. </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Forward Purchase Agreement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CFAC Holdings V, LLC (the “Sponsor”), CF V, and Satellogic entered into the Amended and Restated Forward Purchase Agreement (“FPA”), pursuant to which Satellogic issued to the Sponsor 1,250,000 Class A ordinary shares, and warrants to purchase an additional 333,333 Class A ordinary shares at an exercise price of $11.50 per share (“Forward Purchase Warrant”), for an aggregate purchase price of $10.0 million.</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Cantor Loan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Satellogic and Cantor Fitzgerald Securities (“CF Securities”) entered into a Secured Promissory Note, dated December 23, 2021 (the “Promissory Note”), pursuant to which CF Securities agreed to loan $7.5 million to Satellogic (the “Cantor Loan”). On January 18, 2022, CF Securities, Satellogic and Nettar entered into the Promissory Note Waiver Letter (the “Promissory Note Waiver Letter”) pursuant to which Satellogic and CF Securities agreed that the Company would repay the Cantor Loan, including all principal and interest by the issuance of 788,021 Class A ordinary shares. Such repayment occurred on the Closing Date.</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Redeemable Series X Preferred Stock</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transaction, the 2,033,230 outstanding shares of redeemable Series X preferred stock and accrued dividends in the combined amount of $21.4 million were converted to 2,140,340 Class A ordinary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Liberty Investment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18, 2022, Satellogic and CF V entered into the Liberty Subscription Agreement with an investor (the “Liberty Investor”). Satellogic agreed to issue and sell to the Liberty Investor (i) 20,000,000 of Satellogic’s Class A ordinary shares (the “Liberty Shares”), (ii) a warrant to purchase up to 5,000,000 Satellogic’s Class A ordinary shares at an exercise price of $10.00 per share (the “$10.00 Liberty Warrant”), and (iii) a warrant to purchase up to 15,000,000 of Satellogic’s Class A ordinary shares at an exercise price of $15.00 per share (the “$15.00 Liberty Warrant”, and together with the $10.00 Liberty Warrant, the “Liberty Warrants”), in a private placement for an aggregate purchase price of $150.0 million. The transaction closed on February 10, 2022 (the “Liberty Closing” and the transaction collectively, the “Liberty Investment”).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advisory fee is payable by Satellogic in exchange for advisory services to be provided to Satellogic from time to time until a Cessation Event (as defined in the Liberty Subscription Agreement). The advisory fee includes a warrant to purchase 2,500,000 of Satellogic’s Class A ordinary shares at an exercise price of $10.00 per share (the “Liberty Advisory Fee Warrant”), which was issued at the Liberty Closing, and for so long as a Cessation Event has not occurred, $1.25 million to be paid in cash on the 18-month anniversary of the Liberty Closing and on the last day (or, if not a business day, the immediately following business day) of each of the following five successive three-month anniversaries of such 18-month anniversary (each, an “Advisory Fee Cash Payment” and together, the “Advisory Fee Cash Payments”), representing an aggregate of up to $7.5 million in Advisory Fee Cash Payments. There was $2.5 million owed to the Liberty Investor for the the Advisory Fee Cash Payments and included in accounts payable at December 31, 2023.</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Liberty Advisory Fee Warrant became exercisable as of and from February 10, 2023, and will expire on the fifth anniversary of the Liberty Closing (i.e., February 10, 2027). The Liberty Advisory Fee Warrant is subject to substantially the same terms as the Liberty Warrants.</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Transaction Fees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18, 2022, CF V, Satellogic and CF&amp;Co. entered into the CF Fee Letter, pursuant to which Satellogic agreed to pay cash of $5.0 million and issue an aggregate of 2,058,229 of Satellogic’s Class A ordinary shares in payment of certain Merger-related transaction fees. Such payments were made on the Closing Date.</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Company Stockholders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Transaction:</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 xml:space="preserve">the common stock and preferred stock of Nettar that were issued and outstanding immediately prior to the Merger were automatically canceled and ceased to exist in exchange for Satellogic’s Class A ordinary shares, as determined in accordance with the Merger Agreement; </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all Convertible Notes of Nettar converted into Nettar Preferred Shares which were exchanged for shares of Satellogic’s Class A ordinary shares as determined in the Merger Agreement;</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all options to purchase common stock of Nettar were assumed by the Company and became options to purchase Satellogic’s Class A ordinary shares as determined in accordance with the Merger Agreement;</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Columbia Warrant (as defined below) outstanding immediately prior to the Merger became exercisable for that number of Satellogic’s Class A ordinary shares as determined in accordance with the Merger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the shares issued to our stockholders after giving effect to the 3.3028 Exchange Ratio in accordance with the transactions contemplated by the Merger Agreement as of the Closing Date and the issuance of shares pursuant to the transactions described above:</w:t>
      </w:r>
    </w:p>
    <w:tbl>
      <w:tblPr>
        <w:tblW w:w="6240" w:type="dxa"/>
        <w:jc w:val="left"/>
        <w:tblInd w:w="0" w:type="dxa"/>
        <w:tblLayout w:type="fixed"/>
        <w:tblCellMar>
          <w:top w:w="28" w:type="dxa"/>
          <w:left w:w="28" w:type="dxa"/>
          <w:bottom w:w="28" w:type="dxa"/>
          <w:right w:w="28" w:type="dxa"/>
        </w:tblCellMar>
      </w:tblPr>
      <w:tblGrid>
        <w:gridCol w:w="1913"/>
        <w:gridCol w:w="1682"/>
        <w:gridCol w:w="1684"/>
        <w:gridCol w:w="280"/>
        <w:gridCol w:w="280"/>
        <w:gridCol w:w="401"/>
      </w:tblGrid>
      <w:tr>
        <w:trPr/>
        <w:tc>
          <w:tcPr>
            <w:tcW w:w="1913"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Company stockholders </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stockholders immediately prior to merger</w:t>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17,215,336</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A preferred stockholders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7,968,316</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B preferred stockholders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4,597,928</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B-1 preferred stockholders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2,171,399</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 convertible noteholders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5,581,416</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 convertible noteholders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7,846,333</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 convertible noteholders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4,553,205</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Series X preferred stockholders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2,140,340</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Liberty Investor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20,000,000</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PIPE investors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5,816,770</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Cantor loan repayment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788,021</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to Sponsor under Forward Purchase Securities Agreement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1,250,000</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for transaction fees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2,058,229</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CF V shares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6,837,354</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88,824,647</w:t>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Revenue from Contracts with Customers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recognized revenue of $10.1 million, of which $3.0 million was recognized over time and $7.1 million was recognized at a point in time. During the year ended December 31, 2022, we recognized revenue of $6.0 million, of which $1.6 million was recognized over time and $4.4 million was recognized at a point in time. During the year ended December 31, 2021, we recognized revenue of $4.2 million, of which $3.8 million was recognized over time and $0.4 million was recognized at a point in time.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Company entered a 5-year noncancellable agreement with a technology company by which the customer receives $4.0 million in credits to purchase imagery each year. The Company recognizes revenue as images are delivered to the customer. The customer pays the Company in non-cash consideration in the form of a license to a proprietary software platform, which the Company uses in its internal operations. We recognized $2.8 million of revenue from this customer during the year ended December 31, 2023. We recognized $3.4 million of revenue from this customer during the year ended December 31, 2022. </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our revenue by business line is as follows:</w:t>
      </w:r>
    </w:p>
    <w:p>
      <w:pPr>
        <w:pStyle w:val="TextBody"/>
        <w:bidi w:val="0"/>
        <w:spacing w:before="0" w:after="0"/>
        <w:jc w:val="both"/>
        <w:rPr/>
      </w:pPr>
      <w:r>
        <w:rPr/>
      </w:r>
    </w:p>
    <w:tbl>
      <w:tblPr>
        <w:tblW w:w="6042" w:type="dxa"/>
        <w:jc w:val="left"/>
        <w:tblInd w:w="0" w:type="dxa"/>
        <w:tblLayout w:type="fixed"/>
        <w:tblCellMar>
          <w:top w:w="28" w:type="dxa"/>
          <w:left w:w="28" w:type="dxa"/>
          <w:bottom w:w="28" w:type="dxa"/>
          <w:right w:w="28" w:type="dxa"/>
        </w:tblCellMar>
      </w:tblPr>
      <w:tblGrid>
        <w:gridCol w:w="951"/>
        <w:gridCol w:w="834"/>
        <w:gridCol w:w="840"/>
        <w:gridCol w:w="196"/>
        <w:gridCol w:w="661"/>
        <w:gridCol w:w="109"/>
        <w:gridCol w:w="109"/>
        <w:gridCol w:w="109"/>
        <w:gridCol w:w="109"/>
        <w:gridCol w:w="196"/>
        <w:gridCol w:w="571"/>
        <w:gridCol w:w="109"/>
        <w:gridCol w:w="109"/>
        <w:gridCol w:w="109"/>
        <w:gridCol w:w="109"/>
        <w:gridCol w:w="196"/>
        <w:gridCol w:w="571"/>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 by business line</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Monitoring</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Constellation as a Service ("CaaS")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Space Systems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10,074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6,012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4,247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our revenue by geography is as follows:</w:t>
      </w:r>
    </w:p>
    <w:tbl>
      <w:tblPr>
        <w:tblW w:w="5486" w:type="dxa"/>
        <w:jc w:val="left"/>
        <w:tblInd w:w="0" w:type="dxa"/>
        <w:tblLayout w:type="fixed"/>
        <w:tblCellMar>
          <w:top w:w="28" w:type="dxa"/>
          <w:left w:w="28" w:type="dxa"/>
          <w:bottom w:w="28" w:type="dxa"/>
          <w:right w:w="28" w:type="dxa"/>
        </w:tblCellMar>
      </w:tblPr>
      <w:tblGrid>
        <w:gridCol w:w="749"/>
        <w:gridCol w:w="658"/>
        <w:gridCol w:w="662"/>
        <w:gridCol w:w="196"/>
        <w:gridCol w:w="661"/>
        <w:gridCol w:w="109"/>
        <w:gridCol w:w="109"/>
        <w:gridCol w:w="109"/>
        <w:gridCol w:w="109"/>
        <w:gridCol w:w="196"/>
        <w:gridCol w:w="571"/>
        <w:gridCol w:w="109"/>
        <w:gridCol w:w="109"/>
        <w:gridCol w:w="109"/>
        <w:gridCol w:w="109"/>
        <w:gridCol w:w="196"/>
        <w:gridCol w:w="571"/>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8"/>
              </w:rPr>
              <w:t xml:space="preserve">Revenue by geography </w:t>
            </w:r>
            <w:r>
              <w:rPr>
                <w:rFonts w:ascii="Times New Roman;sans-serif" w:hAnsi="Times New Roman;sans-serif"/>
                <w:b/>
                <w:color w:val="000000"/>
                <w:sz w:val="12"/>
              </w:rPr>
              <w:t>(1)</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America</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America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10,074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6,012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4,247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Revenue by geography is based on the geographical location of the customer.</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Liabilities and Remaining Performance Obligations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 liabilities consist of payments received from customers, or such consideration contractually due, in advance of providing the relevant satellite imagery or related service. Amounts included in Contract liabilities are as follows:</w:t>
      </w:r>
    </w:p>
    <w:tbl>
      <w:tblPr>
        <w:tblW w:w="3115" w:type="dxa"/>
        <w:jc w:val="left"/>
        <w:tblInd w:w="0" w:type="dxa"/>
        <w:tblLayout w:type="fixed"/>
        <w:tblCellMar>
          <w:top w:w="28" w:type="dxa"/>
          <w:left w:w="28" w:type="dxa"/>
          <w:bottom w:w="28" w:type="dxa"/>
          <w:right w:w="28" w:type="dxa"/>
        </w:tblCellMar>
      </w:tblPr>
      <w:tblGrid>
        <w:gridCol w:w="359"/>
        <w:gridCol w:w="315"/>
        <w:gridCol w:w="317"/>
        <w:gridCol w:w="196"/>
        <w:gridCol w:w="571"/>
        <w:gridCol w:w="109"/>
        <w:gridCol w:w="109"/>
        <w:gridCol w:w="109"/>
        <w:gridCol w:w="109"/>
        <w:gridCol w:w="196"/>
        <w:gridCol w:w="571"/>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2,941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pPr>
      <w:r>
        <w:rPr>
          <w:rFonts w:ascii="Times New Roman;sans-serif" w:hAnsi="Times New Roman;sans-serif"/>
          <w:b w:val="false"/>
          <w:color w:val="000000"/>
          <w:sz w:val="20"/>
        </w:rPr>
        <w:t>During the year ended December 31, 2023, we recognized revenue of $1.8 million that was included as a Contract liability as of December 31, 2022. During the year ended December 31, 2022, we recognized revenue of $0.9 million that was included as a Contract liability as of December 31, 2021. During the year ended December 31, 2021, we recognized revenue of $0.5 million that was included as a Contract liability as of December 31, 2020. The increase in contract liabilities in the year ended December 31, 2023 was primarily due to an increase in unused credits to purchase imagery as part of the non-cash agreement described above. Total unused credits included in contract liabilities at December 31, 2023, and December 31, 2022 were $2.7 million</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$1.6 million</w:t>
      </w:r>
      <w:r>
        <w:rPr>
          <w:rFonts w:ascii="Arial;sans-serif" w:hAnsi="Arial;sans-serif"/>
          <w:b w:val="false"/>
          <w:color w:val="000000"/>
          <w:sz w:val="24"/>
        </w:rPr>
        <w:t xml:space="preserve">, </w:t>
      </w:r>
      <w:r>
        <w:rPr>
          <w:rFonts w:ascii="Times New Roman;sans-serif" w:hAnsi="Times New Roman;sans-serif"/>
          <w:b w:val="false"/>
          <w:color w:val="000000"/>
          <w:sz w:val="20"/>
        </w:rPr>
        <w:t>respectively. Unused credits expire one year after issuance. There were no credits that expired in the years ended December 31, 2023 or 2022.</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contract’s transaction price is allocated to each distinct performance obligation and recognized as revenue when, or as, the performance obligation is satisfied. The following table represents the total transaction price for the remaining performance obligations as of December 31, 2023 related to non-cancellable contracts longer than 12 months in duration that is expected to be recognized over future periods.</w:t>
      </w:r>
    </w:p>
    <w:tbl>
      <w:tblPr>
        <w:tblW w:w="7414" w:type="dxa"/>
        <w:jc w:val="left"/>
        <w:tblInd w:w="0" w:type="dxa"/>
        <w:tblLayout w:type="fixed"/>
        <w:tblCellMar>
          <w:top w:w="28" w:type="dxa"/>
          <w:left w:w="28" w:type="dxa"/>
          <w:bottom w:w="28" w:type="dxa"/>
          <w:right w:w="28" w:type="dxa"/>
        </w:tblCellMar>
      </w:tblPr>
      <w:tblGrid>
        <w:gridCol w:w="955"/>
        <w:gridCol w:w="840"/>
        <w:gridCol w:w="845"/>
        <w:gridCol w:w="235"/>
        <w:gridCol w:w="775"/>
        <w:gridCol w:w="130"/>
        <w:gridCol w:w="109"/>
        <w:gridCol w:w="109"/>
        <w:gridCol w:w="109"/>
        <w:gridCol w:w="196"/>
        <w:gridCol w:w="556"/>
        <w:gridCol w:w="109"/>
        <w:gridCol w:w="109"/>
        <w:gridCol w:w="109"/>
        <w:gridCol w:w="109"/>
        <w:gridCol w:w="196"/>
        <w:gridCol w:w="556"/>
        <w:gridCol w:w="109"/>
        <w:gridCol w:w="109"/>
        <w:gridCol w:w="109"/>
        <w:gridCol w:w="109"/>
        <w:gridCol w:w="241"/>
        <w:gridCol w:w="499"/>
        <w:gridCol w:w="191"/>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Within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 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Remaining performance obligations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before="36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Warrant Liabilities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4"/>
        <w:gridCol w:w="786"/>
        <w:gridCol w:w="788"/>
        <w:gridCol w:w="672"/>
        <w:gridCol w:w="1907"/>
        <w:gridCol w:w="373"/>
        <w:gridCol w:w="109"/>
        <w:gridCol w:w="109"/>
        <w:gridCol w:w="109"/>
        <w:gridCol w:w="276"/>
        <w:gridCol w:w="597"/>
        <w:gridCol w:w="156"/>
        <w:gridCol w:w="109"/>
        <w:gridCol w:w="109"/>
        <w:gridCol w:w="109"/>
        <w:gridCol w:w="256"/>
        <w:gridCol w:w="728"/>
        <w:gridCol w:w="142"/>
        <w:gridCol w:w="109"/>
        <w:gridCol w:w="109"/>
        <w:gridCol w:w="109"/>
        <w:gridCol w:w="351"/>
        <w:gridCol w:w="996"/>
        <w:gridCol w:w="282"/>
      </w:tblGrid>
      <w:tr>
        <w:trPr/>
        <w:tc>
          <w:tcPr>
            <w:tcW w:w="91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Liberty Warrants and Liberty Advisory Fee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PIPE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ans-serif" w:hAnsi="Times New Roman;sans-serif"/>
                <w:b/>
                <w:color w:val="000000"/>
                <w:sz w:val="16"/>
              </w:rPr>
            </w:pPr>
            <w:r>
              <w:rPr>
                <w:rFonts w:ascii="Times New Roman;sans-serif" w:hAnsi="Times New Roman;sans-serif"/>
                <w:b/>
                <w:color w:val="000000"/>
                <w:sz w:val="16"/>
              </w:rPr>
              <w:t>$8.63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Warrant Liabilities</w:t>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2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2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2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2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2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2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2022</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6,191 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8,335 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financial instruments</w:t>
            </w:r>
          </w:p>
        </w:tc>
        <w:tc>
          <w:tcPr>
            <w:tcW w:w="25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(4,174)</w:t>
            </w:r>
          </w:p>
        </w:tc>
        <w:tc>
          <w:tcPr>
            <w:tcW w:w="3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w:t>
            </w:r>
          </w:p>
        </w:tc>
        <w:tc>
          <w:tcPr>
            <w:tcW w:w="1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(5,540)</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2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2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2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2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Liberty Warrants and Liberty Advisory Fee Warrant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2022, the Liberty Warrants and the Liberty Advisory Fee Warrant were initially recognized as a liability with a fair value of $30.9 million. The Liberty Warrants and the Liberty Advisory Fee Warrant remain unexercised and were remeasured to fair value of $2.0 million as of December 31, 2023.</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PIPE Warrant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2022, the PIPE Warrant was initially recognized as a liability with a fair value of $1.3 million. The PIPE Warrant remains unexercised and was remeasured to fair value of $0.1 million as of December 31, 2023.</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$8.63 Warrants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we entered into an Assignment, Assumption and Amendment Agreement (the “Amended Warrant Agreement”), dated January 25, 2022, with the Sponsor and CF V that amends the Warrant Agreement (the “Existing Warrant Agreement”), dated January 28, 2021.</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Existing Warrant Agreement, we issued Public Warrants to purchase 8,333,333 Class A ordinary shares and 200,000 private placement Warrants. Additionally, we agreed to issue the Forward Purchase Warrant to purchase 333,333 Class A ordinary shares pursuant to the Amended and Restated Forward Purchase Agreement (together, with the Public Warrants and the private placement Warrants, the “$8.63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$8.63 Warrants are governed by the Existing Warrant Agreement. The $8.63 Warrants became exercisable 30 days after the Closing Date, or February 25, 2022, and will expire five years after the Closing Date (January 25, 2027), or earlier upon redemption or liquidation.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$8.63 Warrants were initially recognized as a liability with a fair value of $4.9 million. On April 1, 2022, we determined pursuant to a warrant agreement executed by CF V on January 28, 2021, as modified and assumed by an assignment and assumption agreement executed on January 25, 2022, that the warrant price with respect to the warrants issued and outstanding was adjusted from $11.50 to $8.63 and the redemption price was adjusted from $18.00 to $13.50. The $8.63 Warrants had a fair value of $0.7 million as of December 31, 2023.</w:t>
      </w:r>
    </w:p>
    <w:p>
      <w:pPr>
        <w:pStyle w:val="TextBody"/>
        <w:bidi w:val="0"/>
        <w:spacing w:before="240" w:after="283"/>
        <w:jc w:val="both"/>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Warrants to purchase 613,111 Class A ordinary shares with an intrinsic value of $0.3 million were exercised during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7. Earnout Liabilities </w:t>
      </w:r>
    </w:p>
    <w:p>
      <w:pPr>
        <w:pStyle w:val="TextBody"/>
        <w:bidi w:val="0"/>
        <w:spacing w:before="0" w:after="0"/>
        <w:jc w:val="left"/>
        <w:rPr/>
      </w:pPr>
      <w:r>
        <w:rPr/>
      </w:r>
    </w:p>
    <w:tbl>
      <w:tblPr>
        <w:tblW w:w="5070" w:type="dxa"/>
        <w:jc w:val="left"/>
        <w:tblInd w:w="0" w:type="dxa"/>
        <w:tblLayout w:type="fixed"/>
        <w:tblCellMar>
          <w:top w:w="28" w:type="dxa"/>
          <w:left w:w="28" w:type="dxa"/>
          <w:bottom w:w="28" w:type="dxa"/>
          <w:right w:w="28" w:type="dxa"/>
        </w:tblCellMar>
      </w:tblPr>
      <w:tblGrid>
        <w:gridCol w:w="1179"/>
        <w:gridCol w:w="1036"/>
        <w:gridCol w:w="1039"/>
        <w:gridCol w:w="304"/>
        <w:gridCol w:w="862"/>
        <w:gridCol w:w="169"/>
        <w:gridCol w:w="109"/>
        <w:gridCol w:w="109"/>
        <w:gridCol w:w="109"/>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Sponsor Earnout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2022</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financial instruments</w:t>
            </w:r>
          </w:p>
        </w:tc>
        <w:tc>
          <w:tcPr>
            <w:tcW w:w="11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Sponsor Earnout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that certain Sponsor Support Agreement, dated as of July 5, 2021, by and among us, the Sponsor and Nettar, the Sponsor has agreed that during the period between the Closing and the five-year anniversary of the Closing, the Sponsor shall not sell, transfer or otherwise dispose of Class A ordinary shares equal to 1,869,000 less 30% of Forfeiture Escrow Shares retired and canceled (“Sponsor Earnout”). The Sponsor Earnout is subject to potential forfeiture to us for no consideration until the occurrence of each tranche’s respective earnout triggering event. The earnout triggering events related to achieving a closing price at or above $12.50, $15.00 and $20.00 per share, respectively, for any 10 trading days over a 20 trading day period were not satisfied during the year ended December 31, 2023. As a result, the 1,775,962 Class A ordinary shares were not vested and are subject to transfer restrictions and contingent forfeiture provisions.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Sponsor Earnout liability is based on a Monte Carlo simulation valuation model using a distribution of potential outcomes on a semi-annual basis over the earnout period, using the most reliable information available. Assumptions used in the valuation are as follows:</w:t>
      </w:r>
    </w:p>
    <w:p>
      <w:pPr>
        <w:pStyle w:val="TextBody"/>
        <w:bidi w:val="0"/>
        <w:spacing w:before="0" w:after="0"/>
        <w:jc w:val="both"/>
        <w:rPr/>
      </w:pPr>
      <w:r>
        <w:rPr/>
      </w:r>
    </w:p>
    <w:tbl>
      <w:tblPr>
        <w:tblW w:w="5366" w:type="dxa"/>
        <w:jc w:val="left"/>
        <w:tblInd w:w="0" w:type="dxa"/>
        <w:tblLayout w:type="fixed"/>
        <w:tblCellMar>
          <w:top w:w="28" w:type="dxa"/>
          <w:left w:w="28" w:type="dxa"/>
          <w:bottom w:w="28" w:type="dxa"/>
          <w:right w:w="28" w:type="dxa"/>
        </w:tblCellMar>
      </w:tblPr>
      <w:tblGrid>
        <w:gridCol w:w="737"/>
        <w:gridCol w:w="650"/>
        <w:gridCol w:w="652"/>
        <w:gridCol w:w="465"/>
        <w:gridCol w:w="406"/>
        <w:gridCol w:w="594"/>
        <w:gridCol w:w="109"/>
        <w:gridCol w:w="109"/>
        <w:gridCol w:w="109"/>
        <w:gridCol w:w="480"/>
        <w:gridCol w:w="391"/>
        <w:gridCol w:w="664"/>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1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5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Risk-free interest rate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5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number of shares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1,775,962 </w:t>
            </w:r>
          </w:p>
        </w:tc>
        <w:tc>
          <w:tcPr>
            <w:tcW w:w="5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1,775,962 </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Forfeiture Earnout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Merger (the “Closing”), we delivered 310,127 shares of our Class A ordinary shares to an escrow account (“Forfeiture Escrow Shares”). The Forfeiture Escrow Shares were held in escrow for a 30-day adjustment period subsequent to the Closing Date, subject to forfeiture, depending on the VWAP. If the VWAP during the adjustment period was $10.00 or more, all Forfeiture Escrow Shares would be released. For the five-year period following the adjustment period, if the closing price of the shares on the principal exchange or securities market on which such securities are listed or quoted is at or above $15.00 for 10 out of 20 trading days, which do not have to be consecutive, the stockholders will have the right to receive their respective portions of shares back.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shares were forfeited because the VWAP was below $10.00. The Forfeiture Earnout was initially recognized as a liability with a fair value of $6.1 million. The liability was remeasured to a fair value of $1.0 million at the end of the adjustment period in 2022 and reclassified as an equity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8. Property and Equipment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consists of the following: </w:t>
      </w:r>
    </w:p>
    <w:tbl>
      <w:tblPr>
        <w:tblW w:w="7386" w:type="dxa"/>
        <w:jc w:val="left"/>
        <w:tblInd w:w="0" w:type="dxa"/>
        <w:tblLayout w:type="fixed"/>
        <w:tblCellMar>
          <w:top w:w="28" w:type="dxa"/>
          <w:left w:w="28" w:type="dxa"/>
          <w:bottom w:w="28" w:type="dxa"/>
          <w:right w:w="28" w:type="dxa"/>
        </w:tblCellMar>
      </w:tblPr>
      <w:tblGrid>
        <w:gridCol w:w="859"/>
        <w:gridCol w:w="753"/>
        <w:gridCol w:w="758"/>
        <w:gridCol w:w="794"/>
        <w:gridCol w:w="794"/>
        <w:gridCol w:w="797"/>
        <w:gridCol w:w="109"/>
        <w:gridCol w:w="109"/>
        <w:gridCol w:w="109"/>
        <w:gridCol w:w="196"/>
        <w:gridCol w:w="661"/>
        <w:gridCol w:w="109"/>
        <w:gridCol w:w="109"/>
        <w:gridCol w:w="109"/>
        <w:gridCol w:w="109"/>
        <w:gridCol w:w="196"/>
        <w:gridCol w:w="661"/>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Satellites in orbit</w:t>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Satellites under construction</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Not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property and equipment</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w:t>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Property and equipment, net</w:t>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41,130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47,981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Provisions for depreciation are based on estimated useful lives of the assets using the straight-line method.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related to our property and equipment and operating lease ROU assets by geography is as follows:</w:t>
      </w:r>
    </w:p>
    <w:tbl>
      <w:tblPr>
        <w:tblW w:w="3518" w:type="dxa"/>
        <w:jc w:val="left"/>
        <w:tblInd w:w="0" w:type="dxa"/>
        <w:tblLayout w:type="fixed"/>
        <w:tblCellMar>
          <w:top w:w="28" w:type="dxa"/>
          <w:left w:w="28" w:type="dxa"/>
          <w:bottom w:w="28" w:type="dxa"/>
          <w:right w:w="28" w:type="dxa"/>
        </w:tblCellMar>
      </w:tblPr>
      <w:tblGrid>
        <w:gridCol w:w="439"/>
        <w:gridCol w:w="384"/>
        <w:gridCol w:w="391"/>
        <w:gridCol w:w="196"/>
        <w:gridCol w:w="661"/>
        <w:gridCol w:w="109"/>
        <w:gridCol w:w="109"/>
        <w:gridCol w:w="109"/>
        <w:gridCol w:w="109"/>
        <w:gridCol w:w="196"/>
        <w:gridCol w:w="661"/>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Uruguay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Argentina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Spain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countries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Total </w:t>
            </w:r>
            <w:r>
              <w:rPr>
                <w:rFonts w:ascii="Times New Roman;sans-serif" w:hAnsi="Times New Roman;sans-serif"/>
                <w:b/>
                <w:color w:val="000000"/>
                <w:sz w:val="12"/>
              </w:rPr>
              <w:t xml:space="preserve">(1)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44,325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56,152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The presentation in the table above is based on the geographic location of the entity that holds the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9. Additional Financial Statement Information</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Prepaid Expenses and Other Current Assets</w:t>
      </w:r>
    </w:p>
    <w:tbl>
      <w:tblPr>
        <w:tblW w:w="5468" w:type="dxa"/>
        <w:jc w:val="center"/>
        <w:tblInd w:w="0" w:type="dxa"/>
        <w:tblLayout w:type="fixed"/>
        <w:tblCellMar>
          <w:top w:w="28" w:type="dxa"/>
          <w:left w:w="28" w:type="dxa"/>
          <w:bottom w:w="28" w:type="dxa"/>
          <w:right w:w="28" w:type="dxa"/>
        </w:tblCellMar>
      </w:tblPr>
      <w:tblGrid>
        <w:gridCol w:w="1210"/>
        <w:gridCol w:w="1063"/>
        <w:gridCol w:w="1071"/>
        <w:gridCol w:w="196"/>
        <w:gridCol w:w="571"/>
        <w:gridCol w:w="109"/>
        <w:gridCol w:w="109"/>
        <w:gridCol w:w="109"/>
        <w:gridCol w:w="109"/>
        <w:gridCol w:w="196"/>
        <w:gridCol w:w="571"/>
        <w:gridCol w:w="154"/>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Prepaid expenses and other current assets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Advances to suppliers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2,173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3,198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Accrued Expenses and Other Liabilities</w:t>
      </w:r>
    </w:p>
    <w:tbl>
      <w:tblPr>
        <w:tblW w:w="5123" w:type="dxa"/>
        <w:jc w:val="center"/>
        <w:tblInd w:w="0" w:type="dxa"/>
        <w:tblLayout w:type="fixed"/>
        <w:tblCellMar>
          <w:top w:w="28" w:type="dxa"/>
          <w:left w:w="28" w:type="dxa"/>
          <w:bottom w:w="28" w:type="dxa"/>
          <w:right w:w="28" w:type="dxa"/>
        </w:tblCellMar>
      </w:tblPr>
      <w:tblGrid>
        <w:gridCol w:w="1085"/>
        <w:gridCol w:w="953"/>
        <w:gridCol w:w="961"/>
        <w:gridCol w:w="196"/>
        <w:gridCol w:w="571"/>
        <w:gridCol w:w="109"/>
        <w:gridCol w:w="109"/>
        <w:gridCol w:w="109"/>
        <w:gridCol w:w="109"/>
        <w:gridCol w:w="196"/>
        <w:gridCol w:w="571"/>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Accrued expenses and other liabilities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and benefits payable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taxes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4,898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6,939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4,372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6,417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526</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522</w:t>
            </w:r>
            <w:r>
              <w:rPr>
                <w:color w:val="000000"/>
              </w:rPr>
              <w:t>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54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Finance Income (Expense), Net</w:t>
      </w:r>
    </w:p>
    <w:tbl>
      <w:tblPr>
        <w:tblW w:w="6927" w:type="dxa"/>
        <w:jc w:val="left"/>
        <w:tblInd w:w="0" w:type="dxa"/>
        <w:tblLayout w:type="fixed"/>
        <w:tblCellMar>
          <w:top w:w="28" w:type="dxa"/>
          <w:left w:w="28" w:type="dxa"/>
          <w:bottom w:w="28" w:type="dxa"/>
          <w:right w:w="28" w:type="dxa"/>
        </w:tblCellMar>
      </w:tblPr>
      <w:tblGrid>
        <w:gridCol w:w="1258"/>
        <w:gridCol w:w="1110"/>
        <w:gridCol w:w="1112"/>
        <w:gridCol w:w="196"/>
        <w:gridCol w:w="571"/>
        <w:gridCol w:w="109"/>
        <w:gridCol w:w="109"/>
        <w:gridCol w:w="109"/>
        <w:gridCol w:w="109"/>
        <w:gridCol w:w="196"/>
        <w:gridCol w:w="631"/>
        <w:gridCol w:w="109"/>
        <w:gridCol w:w="109"/>
        <w:gridCol w:w="109"/>
        <w:gridCol w:w="109"/>
        <w:gridCol w:w="196"/>
        <w:gridCol w:w="631"/>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Finance income (expense), net</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Series X preferred stock dividends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finance costs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1,722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(9,738)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Income Tax</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incorporated in the BVI. Our operations are conducted through various subsidiaries in a number of countries throughout the world with significant operations in Uruguay, where we operate in a free trade zone. Consequently, income tax has been provided based on the laws and tax rates in effect in the countries in which operations are conducted or in which our subsidiaries are considered resident for corporate income tax purposes, including Argentina, China, Israel, the Netherlands, Spain, Uruguay, and the United States. Our provision for (benefit from) income tax for the years ended December 31, 2023, 2022 and 2021 is as follows:</w:t>
      </w:r>
    </w:p>
    <w:p>
      <w:pPr>
        <w:pStyle w:val="TextBody"/>
        <w:bidi w:val="0"/>
        <w:spacing w:before="0" w:after="0"/>
        <w:jc w:val="both"/>
        <w:rPr/>
      </w:pPr>
      <w:r>
        <w:rPr/>
      </w:r>
    </w:p>
    <w:tbl>
      <w:tblPr>
        <w:tblW w:w="6851" w:type="dxa"/>
        <w:jc w:val="left"/>
        <w:tblInd w:w="0" w:type="dxa"/>
        <w:tblLayout w:type="fixed"/>
        <w:tblCellMar>
          <w:top w:w="28" w:type="dxa"/>
          <w:left w:w="28" w:type="dxa"/>
          <w:bottom w:w="28" w:type="dxa"/>
          <w:right w:w="28" w:type="dxa"/>
        </w:tblCellMar>
      </w:tblPr>
      <w:tblGrid>
        <w:gridCol w:w="1275"/>
        <w:gridCol w:w="1119"/>
        <w:gridCol w:w="1145"/>
        <w:gridCol w:w="196"/>
        <w:gridCol w:w="571"/>
        <w:gridCol w:w="109"/>
        <w:gridCol w:w="109"/>
        <w:gridCol w:w="109"/>
        <w:gridCol w:w="109"/>
        <w:gridCol w:w="196"/>
        <w:gridCol w:w="571"/>
        <w:gridCol w:w="109"/>
        <w:gridCol w:w="109"/>
        <w:gridCol w:w="109"/>
        <w:gridCol w:w="109"/>
        <w:gridCol w:w="196"/>
        <w:gridCol w:w="55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810"/>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 provision for (benefit from) income tax</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9,082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4,573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(232)</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the exception under ASC 740-270-30-36(b), Accounting for Income Taxes, for jurisdictions that do not have reliable estimates of income.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have gross unrecognized tax benefits of $1.0 million, exclusive of interest and penalties. If recognized, $0.9 million would reduce our effective tax rate. If applicable, we accrue interest and penalties related to uncertain tax positions as a component of the income tax provision.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amounts of our gross unrecognized tax benefits is as follows.</w:t>
      </w:r>
    </w:p>
    <w:p>
      <w:pPr>
        <w:pStyle w:val="TextBody"/>
        <w:bidi w:val="0"/>
        <w:spacing w:before="0" w:after="0"/>
        <w:jc w:val="both"/>
        <w:rPr/>
      </w:pPr>
      <w:r>
        <w:rPr/>
      </w:r>
    </w:p>
    <w:tbl>
      <w:tblPr>
        <w:tblW w:w="8228" w:type="dxa"/>
        <w:jc w:val="left"/>
        <w:tblInd w:w="0" w:type="dxa"/>
        <w:tblLayout w:type="fixed"/>
        <w:tblCellMar>
          <w:top w:w="28" w:type="dxa"/>
          <w:left w:w="28" w:type="dxa"/>
          <w:bottom w:w="28" w:type="dxa"/>
          <w:right w:w="28" w:type="dxa"/>
        </w:tblCellMar>
      </w:tblPr>
      <w:tblGrid>
        <w:gridCol w:w="2186"/>
        <w:gridCol w:w="1918"/>
        <w:gridCol w:w="1925"/>
        <w:gridCol w:w="196"/>
        <w:gridCol w:w="571"/>
        <w:gridCol w:w="109"/>
        <w:gridCol w:w="109"/>
        <w:gridCol w:w="109"/>
        <w:gridCol w:w="109"/>
        <w:gridCol w:w="211"/>
        <w:gridCol w:w="631"/>
        <w:gridCol w:w="154"/>
      </w:tblGrid>
      <w:tr>
        <w:trPr/>
        <w:tc>
          <w:tcPr>
            <w:tcW w:w="2186"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January 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Increases (decreases) in tax positions related to prior periods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Increases (decreases) related to prior year tax positions as a result of lapse of statute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1,026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3,889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BVI does not impose an income tax. Our provision for (benefit from) income tax differed from the 0% tax rate imposed in the BVI due to the following items for the years ended December 31, 2023, 2022 and 2021:</w:t>
      </w:r>
    </w:p>
    <w:tbl>
      <w:tblPr>
        <w:tblW w:w="9191" w:type="dxa"/>
        <w:jc w:val="left"/>
        <w:tblInd w:w="0" w:type="dxa"/>
        <w:tblLayout w:type="fixed"/>
        <w:tblCellMar>
          <w:top w:w="28" w:type="dxa"/>
          <w:left w:w="28" w:type="dxa"/>
          <w:bottom w:w="28" w:type="dxa"/>
          <w:right w:w="28" w:type="dxa"/>
        </w:tblCellMar>
      </w:tblPr>
      <w:tblGrid>
        <w:gridCol w:w="1955"/>
        <w:gridCol w:w="1714"/>
        <w:gridCol w:w="1730"/>
        <w:gridCol w:w="211"/>
        <w:gridCol w:w="721"/>
        <w:gridCol w:w="109"/>
        <w:gridCol w:w="109"/>
        <w:gridCol w:w="109"/>
        <w:gridCol w:w="109"/>
        <w:gridCol w:w="196"/>
        <w:gridCol w:w="721"/>
        <w:gridCol w:w="109"/>
        <w:gridCol w:w="109"/>
        <w:gridCol w:w="109"/>
        <w:gridCol w:w="109"/>
        <w:gridCol w:w="196"/>
        <w:gridCol w:w="721"/>
        <w:gridCol w:w="154"/>
      </w:tblGrid>
      <w:tr>
        <w:trPr/>
        <w:tc>
          <w:tcPr>
            <w:tcW w:w="1955"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 at weighted-average statutory rates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state and local income tax, net of federal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foreign-derived intangible income deduction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Argentina tax inflation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valuation allowances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Uncertain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carryforward attributes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rates different than statutory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Withholding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9,082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4,573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(232)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effective tax rate from December 31, 2022 to December 31, 2023 is primarily related to the expiration of NOLs and the volatile socio-economic environment in Argentina and the impact on the local currency compared to the U.S. dollar.</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as of December 31, 2023 and 2022 consisted of the following:</w:t>
      </w:r>
    </w:p>
    <w:tbl>
      <w:tblPr>
        <w:tblW w:w="6323" w:type="dxa"/>
        <w:jc w:val="center"/>
        <w:tblInd w:w="0" w:type="dxa"/>
        <w:tblLayout w:type="fixed"/>
        <w:tblCellMar>
          <w:top w:w="28" w:type="dxa"/>
          <w:left w:w="28" w:type="dxa"/>
          <w:bottom w:w="28" w:type="dxa"/>
          <w:right w:w="28" w:type="dxa"/>
        </w:tblCellMar>
      </w:tblPr>
      <w:tblGrid>
        <w:gridCol w:w="1532"/>
        <w:gridCol w:w="1346"/>
        <w:gridCol w:w="1351"/>
        <w:gridCol w:w="196"/>
        <w:gridCol w:w="556"/>
        <w:gridCol w:w="109"/>
        <w:gridCol w:w="109"/>
        <w:gridCol w:w="109"/>
        <w:gridCol w:w="109"/>
        <w:gridCol w:w="196"/>
        <w:gridCol w:w="55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 for estimated credit losses on 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financing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 carryforwards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income tax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 deferred income tax assets (liabilities),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605" cy="14605"/>
                <wp:effectExtent l="0" t="0" r="0" b="0"/>
                <wp:wrapNone/>
                <wp:docPr id="112" name="Frame10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assessment of the realizability of the deferred income tax assets is based on all available positive and negative evidence. Such evidence includes, but is not limited to, recent cumulative earnings or losses at the worldwide consolidated level, expectations of future taxable income by taxing jurisdiction, and the carry-forward periods available for the utilization of deferred income tax assets. The assessment of the recoverability of deferred income tax assets will not change until there is sufficient evidence to support their realizability. We continue to assess and record any necessary changes to align our deferred tax assets to their realizable value.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estimated loss and tax credit carryforwards at December 31, 2023. Our tax attributes are subject to limitations on utilization due to historic ownership changes and may be subject to future limitations upon subsequent change of control, as defined by the Internal Revenue Code Sections 382 and 383.</w:t>
      </w:r>
    </w:p>
    <w:tbl>
      <w:tblPr>
        <w:tblW w:w="10205" w:type="dxa"/>
        <w:jc w:val="left"/>
        <w:tblInd w:w="0" w:type="dxa"/>
        <w:tblLayout w:type="fixed"/>
        <w:tblCellMar>
          <w:top w:w="28" w:type="dxa"/>
          <w:left w:w="28" w:type="dxa"/>
          <w:bottom w:w="28" w:type="dxa"/>
          <w:right w:w="28" w:type="dxa"/>
        </w:tblCellMar>
      </w:tblPr>
      <w:tblGrid>
        <w:gridCol w:w="524"/>
        <w:gridCol w:w="441"/>
        <w:gridCol w:w="444"/>
        <w:gridCol w:w="109"/>
        <w:gridCol w:w="109"/>
        <w:gridCol w:w="109"/>
        <w:gridCol w:w="859"/>
        <w:gridCol w:w="859"/>
        <w:gridCol w:w="871"/>
        <w:gridCol w:w="109"/>
        <w:gridCol w:w="109"/>
        <w:gridCol w:w="109"/>
        <w:gridCol w:w="577"/>
        <w:gridCol w:w="1193"/>
        <w:gridCol w:w="323"/>
        <w:gridCol w:w="109"/>
        <w:gridCol w:w="109"/>
        <w:gridCol w:w="109"/>
        <w:gridCol w:w="676"/>
        <w:gridCol w:w="1919"/>
        <w:gridCol w:w="538"/>
      </w:tblGrid>
      <w:tr>
        <w:trPr/>
        <w:tc>
          <w:tcPr>
            <w:tcW w:w="52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 Carried Forward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Net Amount Recognized as of December 31, 2023</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Argentina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2023 - 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2026 - 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Uruguay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2026 - 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we had $14.5 million and $13.3 million of net operating loss (“NOL”) carryforwards,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are subject to examination by taxing authorities. Tax years vary by jurisdiction, ranging from 2017 to 2022 remain open for examination.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 xml:space="preserve">11. Stockholders’ Equity </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Reverse Recapitalization </w:t>
      </w:r>
    </w:p>
    <w:p>
      <w:pPr>
        <w:pStyle w:val="TextBody"/>
        <w:bidi w:val="0"/>
        <w:spacing w:lineRule="auto" w:line="276" w:before="240" w:after="283"/>
        <w:jc w:val="both"/>
        <w:rPr/>
      </w:pPr>
      <w:r>
        <w:rPr>
          <w:rFonts w:ascii="Times New Roman;sans-serif" w:hAnsi="Times New Roman;sans-serif"/>
          <w:b w:val="false"/>
          <w:color w:val="000000"/>
          <w:sz w:val="20"/>
        </w:rPr>
        <w:t xml:space="preserve">The Consolidated </w:t>
      </w:r>
      <w:r>
        <w:rPr>
          <w:rFonts w:ascii="Times New Roman;sans-serif" w:hAnsi="Times New Roman;sans-serif"/>
          <w:b w:val="false"/>
          <w:color w:val="000000"/>
          <w:sz w:val="20"/>
          <w:shd w:fill="FFFFFF" w:val="clear"/>
        </w:rPr>
        <w:t>Statements of Redeemable Preferred Stock and Stockholders’ Equity reflect the Merger and reverse recapitalization as of January 2022 as discussed in Note 4 (Reverse Recapitalization). Since Satellogic Inc. was determined to be the accounting acquirer in the reverse recapitalization, all periods prior to the consummation of the Merger reflect the balances and activity of Satellogic Inc. (other than shares which were retroactively restated in connection with the Merger).</w:t>
      </w:r>
      <w:r>
        <w:rPr>
          <w:color w:val="000000"/>
        </w:rPr>
        <w:t xml:space="preserv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Preferred Stock</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Merger, our authorized and issued preferred stock consisted of the following:</w:t>
      </w:r>
    </w:p>
    <w:p>
      <w:pPr>
        <w:pStyle w:val="TextBody"/>
        <w:bidi w:val="0"/>
        <w:spacing w:before="0" w:after="0"/>
        <w:jc w:val="left"/>
        <w:rPr/>
      </w:pPr>
      <w:r>
        <w:rPr/>
      </w:r>
    </w:p>
    <w:tbl>
      <w:tblPr>
        <w:tblW w:w="9806" w:type="dxa"/>
        <w:jc w:val="left"/>
        <w:tblInd w:w="0" w:type="dxa"/>
        <w:tblLayout w:type="fixed"/>
        <w:tblCellMar>
          <w:top w:w="28" w:type="dxa"/>
          <w:left w:w="28" w:type="dxa"/>
          <w:bottom w:w="28" w:type="dxa"/>
          <w:right w:w="28" w:type="dxa"/>
        </w:tblCellMar>
      </w:tblPr>
      <w:tblGrid>
        <w:gridCol w:w="716"/>
        <w:gridCol w:w="631"/>
        <w:gridCol w:w="633"/>
        <w:gridCol w:w="964"/>
        <w:gridCol w:w="964"/>
        <w:gridCol w:w="967"/>
        <w:gridCol w:w="109"/>
        <w:gridCol w:w="109"/>
        <w:gridCol w:w="109"/>
        <w:gridCol w:w="1345"/>
        <w:gridCol w:w="1345"/>
        <w:gridCol w:w="191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Authorized Shares (prior to Merger)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Issued and Outstanding Shares (as of December 31, 2021)</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A preferred stock</w:t>
            </w:r>
          </w:p>
        </w:tc>
        <w:tc>
          <w:tcPr>
            <w:tcW w:w="1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4,723,330 </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2,547,330 </w:t>
            </w:r>
          </w:p>
        </w:tc>
        <w:tc>
          <w:tcPr>
            <w:tcW w:w="19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B preferred stock</w:t>
            </w:r>
          </w:p>
        </w:tc>
        <w:tc>
          <w:tcPr>
            <w:tcW w:w="1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3,117,915 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1,392,131 </w:t>
            </w:r>
          </w:p>
        </w:tc>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B-1 preferred stock</w:t>
            </w:r>
          </w:p>
        </w:tc>
        <w:tc>
          <w:tcPr>
            <w:tcW w:w="1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899,153 </w:t>
            </w:r>
          </w:p>
        </w:tc>
        <w:tc>
          <w:tcPr>
            <w:tcW w:w="9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672,524 </w:t>
            </w:r>
          </w:p>
        </w:tc>
        <w:tc>
          <w:tcPr>
            <w:tcW w:w="19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preferred stock</w:t>
            </w:r>
          </w:p>
        </w:tc>
        <w:tc>
          <w:tcPr>
            <w:tcW w:w="19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8,740,398 </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4,611,985 </w:t>
            </w:r>
          </w:p>
        </w:tc>
        <w:tc>
          <w:tcPr>
            <w:tcW w:w="1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all shares of preferred stock were converted to shares of Class A ordinary shares.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Preferred Stockholder Transaction</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March 2021, we signed an Exchange Agreement (the “Exchange Agreement”) in conjunction with a Loan and Security Agreement and warrant with Columbia River Investment Limited, a holder of preferred stock and convertible notes (the “Investor”), requiring the Investor to sell back to us all its outstanding shares and Notes debt (as part of the sale of such notes to Nettar. For further discussion of the Notes, see Note 17 (Debt).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Columbia Warrant was initially recognized as a liability. The fair value of the Columbia Warrant was reclassified to additional paid-in capital in connection with the Merger.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Ordinary Shares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registration statement was filed on May 2, 2022 and was declared effective on May 9, 2022. </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authorized to issue unlimited Class A ordinary shares with a par value of $0.0001 per share. Holders of Class A ordinary shares are entitled to one vote for each share. As of December 31, 2023, there were 76,721,343 Class A ordinary shares issued and outstanding.</w:t>
      </w:r>
    </w:p>
    <w:p>
      <w:pPr>
        <w:pStyle w:val="TextBody"/>
        <w:bidi w:val="0"/>
        <w:spacing w:lineRule="auto" w:line="276" w:before="240" w:after="283"/>
        <w:jc w:val="both"/>
        <w:rPr/>
      </w:pPr>
      <w:r>
        <w:rPr>
          <w:rFonts w:ascii="Times New Roman;sans-serif" w:hAnsi="Times New Roman;sans-serif"/>
          <w:b w:val="false"/>
          <w:color w:val="000000"/>
          <w:sz w:val="20"/>
          <w:shd w:fill="FFFFFF" w:val="clear"/>
        </w:rPr>
        <w:t xml:space="preserve">In addition, we are authorized to issue unlimited Class B ordinary shares with a par value of $0.0001 per share. Holders of Class B ordinary shares are entitled to </w:t>
      </w:r>
      <w:r>
        <w:rPr>
          <w:rFonts w:ascii="Times New Roman;sans-serif" w:hAnsi="Times New Roman;sans-serif"/>
          <w:b w:val="false"/>
          <w:color w:val="000000"/>
          <w:sz w:val="20"/>
        </w:rPr>
        <w:t>1.472467906</w:t>
      </w:r>
      <w:r>
        <w:rPr>
          <w:color w:val="000000"/>
          <w:shd w:fill="FFFFFF" w:val="clear"/>
        </w:rPr>
        <w:t xml:space="preserve"> </w:t>
      </w:r>
      <w:r>
        <w:rPr>
          <w:rFonts w:ascii="Times New Roman;sans-serif" w:hAnsi="Times New Roman;sans-serif"/>
          <w:b w:val="false"/>
          <w:color w:val="000000"/>
          <w:sz w:val="20"/>
          <w:shd w:fill="FFFFFF" w:val="clear"/>
        </w:rPr>
        <w:t>votes per share. Satellogic’s founder and Chief Executive Officer owns 13,582,642 Class B ordinary shares, representing 100% of the voting power of the Class B ordinary shares and 20.7% of the voting power of Satellogic’s Ordinary Shares.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Holders of Class B ordinary shares have a number of votes per share equal to the number of votes controlled by the Liberty Investor. Class B ordinary shares will automatically convert to Class A ordinary shares at the five-year anniversary of the Closing Date unless otherwise converted, generally at the holder’s option.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Treasury Stock</w: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14, 2022, our Board approved an initial $5 million share repurchase program. Repurchases under the program may be made in the open market, in privately negotiated transactions or otherwise, with the timing of repurchases depending on market conditions.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repurchased 516,123 Class A ordinary shares for $2.7 million during the year ended December 31, 2022.</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Hannover Holdings Transaction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repurchased 51,700 Class A ordinary shares, 134,735 shares of Series A preferred stock, and 15,082 shares of Series B-1 preferred stock from Hannover Holdings S.A. prior to the consummation of the Merger for an aggregate of $5,853 (the “Hannover Holdings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Stock-based Compensation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employees, including senior executives, receive incentives in the form of stock options and RSUs, whereby employees render services as consideration for equity instruments (equity-settled transactions).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Closing Date, we established the 2021 Incentive Compensation Plan (the “2021 Plan”) under which RSUs were issued during the years ended December 31, 2023 and December 31, 2022. The 2021 Plan provides for the grant options, stock appreciation rights, restricted stock awards, RSUs, shares granted as a bonus or in lieu of another award, dividend equivalents, or other stock-based awards or performance awards at the discretion of a board-elected committee. We also maintain our 2015 Share Plan as amended (the “2015 Plan”) under which stock-based option awards were issued or modified. The options were typically granted with a four-year vesting term and a maximum contractual term of 10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no further awards have or shall be granted under the 2015 Share Plan. There were no options granted during the years ended December 31, 2023 and December 31, 2022.</w:t>
      </w:r>
    </w:p>
    <w:p>
      <w:pPr>
        <w:pStyle w:val="TextBody"/>
        <w:bidi w:val="0"/>
        <w:spacing w:before="0" w:after="0"/>
        <w:jc w:val="both"/>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stock option activity for the year ended December 31, 2023 is as follows: </w:t>
      </w:r>
    </w:p>
    <w:tbl>
      <w:tblPr>
        <w:tblW w:w="10205" w:type="dxa"/>
        <w:jc w:val="left"/>
        <w:tblInd w:w="0" w:type="dxa"/>
        <w:tblLayout w:type="fixed"/>
        <w:tblCellMar>
          <w:top w:w="28" w:type="dxa"/>
          <w:left w:w="28" w:type="dxa"/>
          <w:bottom w:w="28" w:type="dxa"/>
          <w:right w:w="28" w:type="dxa"/>
        </w:tblCellMar>
      </w:tblPr>
      <w:tblGrid>
        <w:gridCol w:w="765"/>
        <w:gridCol w:w="579"/>
        <w:gridCol w:w="580"/>
        <w:gridCol w:w="289"/>
        <w:gridCol w:w="289"/>
        <w:gridCol w:w="269"/>
        <w:gridCol w:w="109"/>
        <w:gridCol w:w="109"/>
        <w:gridCol w:w="109"/>
        <w:gridCol w:w="664"/>
        <w:gridCol w:w="664"/>
        <w:gridCol w:w="666"/>
        <w:gridCol w:w="109"/>
        <w:gridCol w:w="109"/>
        <w:gridCol w:w="109"/>
        <w:gridCol w:w="941"/>
        <w:gridCol w:w="941"/>
        <w:gridCol w:w="943"/>
        <w:gridCol w:w="109"/>
        <w:gridCol w:w="109"/>
        <w:gridCol w:w="109"/>
        <w:gridCol w:w="320"/>
        <w:gridCol w:w="1057"/>
        <w:gridCol w:w="257"/>
      </w:tblGrid>
      <w:tr>
        <w:trPr/>
        <w:tc>
          <w:tcPr>
            <w:tcW w:w="76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w:t>
              <w:br/>
              <w:t>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Intrinsic Value (in thousands)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6,067,313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$1.83</w:t>
            </w:r>
            <w:r>
              <w:rPr>
                <w:color w:val="000000"/>
              </w:rPr>
              <w:t>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10,818 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Granted </w:t>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Forfeited </w:t>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Expired </w:t>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Outstanding at December 31, 2023</w:t>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4,909,302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$1.55</w:t>
            </w:r>
            <w:r>
              <w:rPr>
                <w:color w:val="000000"/>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Exercisable at December 31, 2023</w:t>
            </w:r>
          </w:p>
        </w:tc>
        <w:tc>
          <w:tcPr>
            <w:tcW w:w="84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4,426,776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$1.34</w:t>
            </w:r>
            <w:r>
              <w:rPr>
                <w:color w:val="000000"/>
              </w:rPr>
              <w:t>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options exercised during the years ended December 31, 2023, 2022 and 2021 was $95 thousand, $75 thousand and $23.9 million, respectively. The number of options exercised in the years ended December 31, 2023, 2022 and 2021 is net of 42,898 options, 17,376 options and zero options, respectively that were forfeited for payment of withholding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the inputs used under the Black-Scholes model for stock-option awards during the year ended December 31, 2021. No options were granted in 2023 or 2022.</w:t>
      </w:r>
    </w:p>
    <w:tbl>
      <w:tblPr>
        <w:tblW w:w="7809" w:type="dxa"/>
        <w:jc w:val="left"/>
        <w:tblInd w:w="0" w:type="dxa"/>
        <w:tblLayout w:type="fixed"/>
        <w:tblCellMar>
          <w:top w:w="28" w:type="dxa"/>
          <w:left w:w="28" w:type="dxa"/>
          <w:bottom w:w="28" w:type="dxa"/>
          <w:right w:w="28" w:type="dxa"/>
        </w:tblCellMar>
      </w:tblPr>
      <w:tblGrid>
        <w:gridCol w:w="1973"/>
        <w:gridCol w:w="1732"/>
        <w:gridCol w:w="1739"/>
        <w:gridCol w:w="109"/>
        <w:gridCol w:w="109"/>
        <w:gridCol w:w="109"/>
        <w:gridCol w:w="180"/>
        <w:gridCol w:w="180"/>
        <w:gridCol w:w="180"/>
        <w:gridCol w:w="324"/>
        <w:gridCol w:w="920"/>
        <w:gridCol w:w="254"/>
      </w:tblGrid>
      <w:tr>
        <w:trPr/>
        <w:tc>
          <w:tcPr>
            <w:tcW w:w="197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fair value of options at the measurement date (grant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61- 72</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0.5 - 1.4</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Weighted average share price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further detailed in Note 4 (Reverse Recapitalization), all options to purchase the predecessor common stock were assumed by Satellogic Inc., the new listed company, and became options to purchase Class A ordinary shares of Satellogic Inc., as determined in accordance with the Merger Agreement. There were no other material cancellations or modifications to the granted awards for the years ended December 31, 2023, 2022, and 2021.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RSU activity for the year ended December 31, 2023 is as follows:</w:t>
      </w:r>
    </w:p>
    <w:tbl>
      <w:tblPr>
        <w:tblW w:w="10205" w:type="dxa"/>
        <w:jc w:val="left"/>
        <w:tblInd w:w="0" w:type="dxa"/>
        <w:tblLayout w:type="fixed"/>
        <w:tblCellMar>
          <w:top w:w="28" w:type="dxa"/>
          <w:left w:w="28" w:type="dxa"/>
          <w:bottom w:w="28" w:type="dxa"/>
          <w:right w:w="28" w:type="dxa"/>
        </w:tblCellMar>
      </w:tblPr>
      <w:tblGrid>
        <w:gridCol w:w="1385"/>
        <w:gridCol w:w="1217"/>
        <w:gridCol w:w="1221"/>
        <w:gridCol w:w="274"/>
        <w:gridCol w:w="274"/>
        <w:gridCol w:w="278"/>
        <w:gridCol w:w="109"/>
        <w:gridCol w:w="109"/>
        <w:gridCol w:w="109"/>
        <w:gridCol w:w="672"/>
        <w:gridCol w:w="1655"/>
        <w:gridCol w:w="377"/>
        <w:gridCol w:w="109"/>
        <w:gridCol w:w="109"/>
        <w:gridCol w:w="109"/>
        <w:gridCol w:w="474"/>
        <w:gridCol w:w="1346"/>
        <w:gridCol w:w="378"/>
      </w:tblGrid>
      <w:tr>
        <w:trPr/>
        <w:tc>
          <w:tcPr>
            <w:tcW w:w="138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w:t>
              <w:br/>
              <w:t>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Grant-Date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Intrinsic Value (in thousands)</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Outstanding unvested RSUs at December 31, 2022</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1,459,280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4,451 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 during the year</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during the year</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during the year (1)</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Outstanding unvested RSUs at December 31, 2023</w:t>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3,229,915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2.25</w:t>
            </w: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5,652 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76" w:before="0" w:after="0"/>
        <w:jc w:val="both"/>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0"/>
        </w:rPr>
        <w:t>The issuance of Class A ordinary shares was deferred, as elected by the grantees, for 121,384 RSUs that vested during the year ended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 date value of RSUs at December 31, 2023 and December 31, 2022 was $2.25 and $4.38, respectively. The number of shares vested is net of 253,101 RSUs forfeited for payment of withholding taxes in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unrecognized stock-based compensation cost related to outstanding options and RSUs that are expected to vest was $0.6 million and $4.1 million, respectively, which is expected to be recognized over a weighted-average period of 0.63 years and 1.16 years, respectively. </w:t>
      </w:r>
    </w:p>
    <w:p>
      <w:pPr>
        <w:pStyle w:val="TextBody"/>
        <w:bidi w:val="0"/>
        <w:spacing w:before="0" w:after="0"/>
        <w:jc w:val="both"/>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employee and non-employee stock-based compensation expense was classified in the Consolidated Statements of Operations and Comprehensive Loss as follows:</w:t>
      </w:r>
    </w:p>
    <w:p>
      <w:pPr>
        <w:pStyle w:val="TextBody"/>
        <w:bidi w:val="0"/>
        <w:spacing w:before="0" w:after="0"/>
        <w:jc w:val="left"/>
        <w:rPr/>
      </w:pPr>
      <w:r>
        <w:rPr/>
      </w:r>
    </w:p>
    <w:tbl>
      <w:tblPr>
        <w:tblW w:w="6072" w:type="dxa"/>
        <w:jc w:val="left"/>
        <w:tblInd w:w="0" w:type="dxa"/>
        <w:tblLayout w:type="fixed"/>
        <w:tblCellMar>
          <w:top w:w="28" w:type="dxa"/>
          <w:left w:w="28" w:type="dxa"/>
          <w:bottom w:w="28" w:type="dxa"/>
          <w:right w:w="28" w:type="dxa"/>
        </w:tblCellMar>
      </w:tblPr>
      <w:tblGrid>
        <w:gridCol w:w="977"/>
        <w:gridCol w:w="860"/>
        <w:gridCol w:w="863"/>
        <w:gridCol w:w="196"/>
        <w:gridCol w:w="556"/>
        <w:gridCol w:w="109"/>
        <w:gridCol w:w="109"/>
        <w:gridCol w:w="109"/>
        <w:gridCol w:w="109"/>
        <w:gridCol w:w="196"/>
        <w:gridCol w:w="556"/>
        <w:gridCol w:w="109"/>
        <w:gridCol w:w="109"/>
        <w:gridCol w:w="109"/>
        <w:gridCol w:w="109"/>
        <w:gridCol w:w="196"/>
        <w:gridCol w:w="64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13. Redeemable Preferred Stock</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Reverse Recapitalization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redeemable Series X preferred stock, par value of $0.0001, carried an annual 7% cumulative dividend, payable upon a liquidation, dissolution, winding up or, upon the election of the stockholders, upon redemption. Due to the contractual provisions of the redeemable Series X preferred stock, the Series X preferred stock was accounted for as mezzanine equity.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Closing, we canceled and converted all 2,033,230 shares of issued and outstanding redeemable Series X preferred stock and preferred dividends totaling $21.4 million into 2,140,340 shares of Satellogic Class A ordinary shares, based on the conversion price of $10.00 per share, at the time the Merger became effective.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Net Loss Per Share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number of shares of common stock outstanding prior to the Merger have been retroactively adjusted by the Exchange Ratio of 3.3028 (“Exchange Ratio”) to give effect to the reverse recapitalization treatment of the Merger. Shares of common stock issued as a result of redeemable Series X preferred stock and the conversion of shares of preferred stock outstanding pre-Merger in connection with the Closing have been included in the basic net loss per share calculation on a prospective basis.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loss per share considers the impact of potentially dilutive securities. We identified financial instruments that qualify as potential common shares: (i) the share-based options awards described in Note 12 (Stock-based Compensation), (ii) the warrants described in Note 6 (Warrant Liabilities), and (iii) the earnout liabilities described in Note 7 (Earnout Liabilities). With the exception of the Columbia Warrant, each of these potential common shares are antidilutive since their conversion to common shares would decrease loss per share from continuing operations.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Columbia Warrant was dilutive due to the change in fair value of financial instruments during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 is calculated as follows:</w:t>
      </w:r>
    </w:p>
    <w:tbl>
      <w:tblPr>
        <w:tblW w:w="9356" w:type="dxa"/>
        <w:jc w:val="left"/>
        <w:tblInd w:w="0" w:type="dxa"/>
        <w:tblLayout w:type="fixed"/>
        <w:tblCellMar>
          <w:top w:w="28" w:type="dxa"/>
          <w:left w:w="28" w:type="dxa"/>
          <w:bottom w:w="28" w:type="dxa"/>
          <w:right w:w="28" w:type="dxa"/>
        </w:tblCellMar>
      </w:tblPr>
      <w:tblGrid>
        <w:gridCol w:w="2022"/>
        <w:gridCol w:w="1775"/>
        <w:gridCol w:w="1782"/>
        <w:gridCol w:w="196"/>
        <w:gridCol w:w="721"/>
        <w:gridCol w:w="109"/>
        <w:gridCol w:w="109"/>
        <w:gridCol w:w="109"/>
        <w:gridCol w:w="109"/>
        <w:gridCol w:w="196"/>
        <w:gridCol w:w="721"/>
        <w:gridCol w:w="109"/>
        <w:gridCol w:w="109"/>
        <w:gridCol w:w="109"/>
        <w:gridCol w:w="109"/>
        <w:gridCol w:w="196"/>
        <w:gridCol w:w="721"/>
        <w:gridCol w:w="154"/>
      </w:tblGrid>
      <w:tr>
        <w:trPr/>
        <w:tc>
          <w:tcPr>
            <w:tcW w:w="2022"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attributable to common stockholders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weighted-average common shares outstanding (1)</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89,539,910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83,188,276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16,655,634</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Basic loss per share for the period attributable to stockholders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 to numerator - Change in fair value of Columbia Warrant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numerator</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Columbia Warrant</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Diluted weighted-average common shares outstanding </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89,539,910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83,798,149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16,655,634</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Diluted loss per share for the period attributable to stockholders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After applying the 3.3028 Exchange Ratio as described in Note 4 (Reverse Recapitalization).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following securities were not included in the computation of diluted shares outstanding because the effect would have been anti-dilutive:</w:t>
      </w:r>
    </w:p>
    <w:p>
      <w:pPr>
        <w:pStyle w:val="TextBody"/>
        <w:bidi w:val="0"/>
        <w:spacing w:before="0" w:after="0"/>
        <w:jc w:val="both"/>
        <w:rPr/>
      </w:pPr>
      <w:r>
        <w:rPr/>
      </w:r>
    </w:p>
    <w:tbl>
      <w:tblPr>
        <w:tblW w:w="7109" w:type="dxa"/>
        <w:jc w:val="left"/>
        <w:tblInd w:w="0" w:type="dxa"/>
        <w:tblLayout w:type="fixed"/>
        <w:tblCellMar>
          <w:top w:w="28" w:type="dxa"/>
          <w:left w:w="28" w:type="dxa"/>
          <w:bottom w:w="28" w:type="dxa"/>
          <w:right w:w="28" w:type="dxa"/>
        </w:tblCellMar>
      </w:tblPr>
      <w:tblGrid>
        <w:gridCol w:w="1052"/>
        <w:gridCol w:w="926"/>
        <w:gridCol w:w="931"/>
        <w:gridCol w:w="480"/>
        <w:gridCol w:w="481"/>
        <w:gridCol w:w="156"/>
        <w:gridCol w:w="132"/>
        <w:gridCol w:w="132"/>
        <w:gridCol w:w="132"/>
        <w:gridCol w:w="480"/>
        <w:gridCol w:w="481"/>
        <w:gridCol w:w="156"/>
        <w:gridCol w:w="132"/>
        <w:gridCol w:w="132"/>
        <w:gridCol w:w="132"/>
        <w:gridCol w:w="480"/>
        <w:gridCol w:w="481"/>
        <w:gridCol w:w="213"/>
      </w:tblGrid>
      <w:tr>
        <w:trPr/>
        <w:tc>
          <w:tcPr>
            <w:tcW w:w="105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49,184,868 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49,184,868 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15,931,360 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Sponsor earnout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1,775,962 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1,775,962 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4,909,302 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6,067,313 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6,864,563 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3,229,915 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1,459,280 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convertible preferred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6,645,215 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59,100,047 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58,487,423 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29,441,138 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15. Fair Value Measurements and Financial Instruments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the fair value measurement hierarchy of our assets and liabilities:</w:t>
      </w:r>
    </w:p>
    <w:tbl>
      <w:tblPr>
        <w:tblW w:w="9021" w:type="dxa"/>
        <w:jc w:val="left"/>
        <w:tblInd w:w="0" w:type="dxa"/>
        <w:tblLayout w:type="fixed"/>
        <w:tblCellMar>
          <w:top w:w="28" w:type="dxa"/>
          <w:left w:w="28" w:type="dxa"/>
          <w:bottom w:w="28" w:type="dxa"/>
          <w:right w:w="28" w:type="dxa"/>
        </w:tblCellMar>
      </w:tblPr>
      <w:tblGrid>
        <w:gridCol w:w="1583"/>
        <w:gridCol w:w="1395"/>
        <w:gridCol w:w="1402"/>
        <w:gridCol w:w="109"/>
        <w:gridCol w:w="109"/>
        <w:gridCol w:w="109"/>
        <w:gridCol w:w="312"/>
        <w:gridCol w:w="670"/>
        <w:gridCol w:w="173"/>
        <w:gridCol w:w="109"/>
        <w:gridCol w:w="109"/>
        <w:gridCol w:w="109"/>
        <w:gridCol w:w="339"/>
        <w:gridCol w:w="701"/>
        <w:gridCol w:w="190"/>
        <w:gridCol w:w="109"/>
        <w:gridCol w:w="109"/>
        <w:gridCol w:w="109"/>
        <w:gridCol w:w="275"/>
        <w:gridCol w:w="782"/>
        <w:gridCol w:w="218"/>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r>
      <w:tr>
        <w:trPr/>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w:t>
              <w:br/>
              <w:t xml:space="preserve">in active </w:t>
              <w:br/>
              <w:t xml:space="preserve">markets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w:t>
              <w:br/>
              <w:t xml:space="preserve">observable </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w:t>
              <w:br/>
              <w:t xml:space="preserve">unobservable </w:t>
              <w:br/>
              <w:t>inputs (Level 3)</w:t>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$8.63</w:t>
            </w:r>
            <w:r>
              <w:rPr>
                <w:color w:val="000000"/>
              </w:rPr>
              <w:t xml:space="preserve"> </w:t>
            </w:r>
            <w:r>
              <w:rPr>
                <w:rFonts w:ascii="Times New Roman;sans-serif" w:hAnsi="Times New Roman;sans-serif"/>
                <w:b w:val="false"/>
                <w:color w:val="000000"/>
                <w:sz w:val="18"/>
              </w:rPr>
              <w:t>Warrants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PIPE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Liberty Warrants and Liberty Advisory Fee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Warrant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Sponsor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2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tbl>
      <w:tblPr>
        <w:tblW w:w="9021" w:type="dxa"/>
        <w:jc w:val="left"/>
        <w:tblInd w:w="0" w:type="dxa"/>
        <w:tblLayout w:type="fixed"/>
        <w:tblCellMar>
          <w:top w:w="28" w:type="dxa"/>
          <w:left w:w="28" w:type="dxa"/>
          <w:bottom w:w="28" w:type="dxa"/>
          <w:right w:w="28" w:type="dxa"/>
        </w:tblCellMar>
      </w:tblPr>
      <w:tblGrid>
        <w:gridCol w:w="1583"/>
        <w:gridCol w:w="1395"/>
        <w:gridCol w:w="1402"/>
        <w:gridCol w:w="109"/>
        <w:gridCol w:w="109"/>
        <w:gridCol w:w="109"/>
        <w:gridCol w:w="263"/>
        <w:gridCol w:w="746"/>
        <w:gridCol w:w="146"/>
        <w:gridCol w:w="109"/>
        <w:gridCol w:w="109"/>
        <w:gridCol w:w="109"/>
        <w:gridCol w:w="339"/>
        <w:gridCol w:w="701"/>
        <w:gridCol w:w="190"/>
        <w:gridCol w:w="109"/>
        <w:gridCol w:w="109"/>
        <w:gridCol w:w="109"/>
        <w:gridCol w:w="275"/>
        <w:gridCol w:w="782"/>
        <w:gridCol w:w="218"/>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r>
      <w:tr>
        <w:trPr/>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Financial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w:t>
              <w:br/>
              <w:t xml:space="preserve">in active </w:t>
              <w:br/>
              <w:t xml:space="preserve">markets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w:t>
              <w:br/>
              <w:t xml:space="preserve">observable </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w:t>
              <w:br/>
              <w:t xml:space="preserve">unobservable </w:t>
              <w:br/>
              <w:t>inputs (Level 3)</w:t>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$8.63</w:t>
            </w:r>
            <w:r>
              <w:rPr>
                <w:color w:val="000000"/>
              </w:rPr>
              <w:t xml:space="preserve"> </w:t>
            </w:r>
            <w:r>
              <w:rPr>
                <w:rFonts w:ascii="Times New Roman;sans-serif" w:hAnsi="Times New Roman;sans-serif"/>
                <w:b w:val="false"/>
                <w:color w:val="000000"/>
                <w:sz w:val="18"/>
              </w:rPr>
              <w:t>Warrants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PIPE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Liberty Warrants and Liberty Advisory Fee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Warrant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6,502 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Sponsor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2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to estimate the fair values: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carrying values of cash and cash equivalents, restricted cash, accounts receivable, prepaid expenses and other current assets, accounts payable, and accrued expenses and other liabilities are considered to approximate their fair values due to the short-term nature of these items.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fair values of the PIPE Warrant have been estimated using the Black-Scholes model. Significant unobservable inputs include: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Time to expiry: 3.1 years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Volatility: 63.9%</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Risk free rate of return: 4.0%</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fair values of the Liberty Warrants and Liberty Advisory Fee Warrant have been estimated using the Black-Scholes model. Significant unobservable inputs include: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Time to expiry: 3.1 years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Volatility: 63.8%</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Risk free rate of return: 4.0%</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fair value of the Sponsor Earnout has been estimated using the Monte Carlo model. Significant unobservable inputs include: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Time to expiry: 3.1 years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Volatility: 63.9%</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Risk free rate of return: 4.0%</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fair values of the $8.63 Warrants were determined using the quoted prices in the active warrant market.</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carrying value of operating lease liabilities is calculated as the present value of lease payments, discounted at its incremental borrowing rate at the lease commencement date. We consider that the incremental borrowing rate remained unchanged, therefore the carrying amount of operating lease liabilities approximates its fair value.</w:t>
      </w:r>
    </w:p>
    <w:p>
      <w:pPr>
        <w:pStyle w:val="TextBody"/>
        <w:bidi w:val="0"/>
        <w:spacing w:lineRule="auto" w:line="276" w:before="0" w:after="0"/>
        <w:ind w:left="0" w:right="0" w:hanging="360"/>
        <w:jc w:val="both"/>
        <w:rPr>
          <w:color w:val="000000"/>
        </w:rPr>
      </w:pPr>
      <w:r>
        <w:rPr>
          <w:color w:val="000000"/>
        </w:rPr>
        <w:t>•</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fair value of the Notes debt is determined by using the “with” and “without” method. As of each measurement date, we first valued the Notes with the conversion options in certain scenarios (the “with” scenario) and subsequently valued the Notes without the conversion options (the “without” scenario). The difference between the fair values of the Notes in the “with” and “without” was de minimis at each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Level 3 liabilities during the years ended December 31, 2023 and 2022 were as follows:</w:t>
      </w:r>
    </w:p>
    <w:tbl>
      <w:tblPr>
        <w:tblW w:w="10205" w:type="dxa"/>
        <w:jc w:val="left"/>
        <w:tblInd w:w="0" w:type="dxa"/>
        <w:tblLayout w:type="fixed"/>
        <w:tblCellMar>
          <w:top w:w="28" w:type="dxa"/>
          <w:left w:w="28" w:type="dxa"/>
          <w:bottom w:w="28" w:type="dxa"/>
          <w:right w:w="28" w:type="dxa"/>
        </w:tblCellMar>
      </w:tblPr>
      <w:tblGrid>
        <w:gridCol w:w="648"/>
        <w:gridCol w:w="517"/>
        <w:gridCol w:w="399"/>
        <w:gridCol w:w="431"/>
        <w:gridCol w:w="1258"/>
        <w:gridCol w:w="240"/>
        <w:gridCol w:w="109"/>
        <w:gridCol w:w="109"/>
        <w:gridCol w:w="109"/>
        <w:gridCol w:w="245"/>
        <w:gridCol w:w="508"/>
        <w:gridCol w:w="137"/>
        <w:gridCol w:w="109"/>
        <w:gridCol w:w="109"/>
        <w:gridCol w:w="109"/>
        <w:gridCol w:w="225"/>
        <w:gridCol w:w="846"/>
        <w:gridCol w:w="125"/>
        <w:gridCol w:w="109"/>
        <w:gridCol w:w="109"/>
        <w:gridCol w:w="109"/>
        <w:gridCol w:w="249"/>
        <w:gridCol w:w="554"/>
        <w:gridCol w:w="138"/>
        <w:gridCol w:w="109"/>
        <w:gridCol w:w="109"/>
        <w:gridCol w:w="109"/>
        <w:gridCol w:w="294"/>
        <w:gridCol w:w="612"/>
        <w:gridCol w:w="166"/>
        <w:gridCol w:w="109"/>
        <w:gridCol w:w="109"/>
        <w:gridCol w:w="109"/>
        <w:gridCol w:w="209"/>
        <w:gridCol w:w="595"/>
        <w:gridCol w:w="174"/>
      </w:tblGrid>
      <w:tr>
        <w:trPr/>
        <w:tc>
          <w:tcPr>
            <w:tcW w:w="64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Liberty Warrants and Liberty Advisory Fee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PIPE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Columbia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Sponsor Earnout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Forfeiture Earnout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Cantor Loan</w:t>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At January 1, 2022</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143,237 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Issues</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30,853 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Remeasurement (gain)/loss</w:t>
            </w:r>
            <w:r>
              <w:rPr>
                <w:rFonts w:ascii="Times New Roman;sans-serif" w:hAnsi="Times New Roman;sans-serif"/>
                <w:b w:val="false"/>
                <w:color w:val="000000"/>
                <w:sz w:val="12"/>
              </w:rPr>
              <w:t>(1)</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 of deferred costs</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Settlements </w:t>
            </w:r>
            <w:r>
              <w:rPr>
                <w:rFonts w:ascii="Times New Roman;sans-serif" w:hAnsi="Times New Roman;sans-serif"/>
                <w:b w:val="false"/>
                <w:color w:val="000000"/>
                <w:sz w:val="12"/>
              </w:rPr>
              <w:t>(2)</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(124,805)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At December 31, 2022</w:t>
            </w:r>
          </w:p>
        </w:tc>
        <w:tc>
          <w:tcPr>
            <w:tcW w:w="16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6,191</w:t>
            </w: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311</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1,353</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Remeasurement (gain)/loss</w:t>
            </w:r>
            <w:r>
              <w:rPr>
                <w:rFonts w:ascii="Times New Roman;sans-serif" w:hAnsi="Times New Roman;sans-serif"/>
                <w:b w:val="false"/>
                <w:color w:val="000000"/>
                <w:sz w:val="12"/>
              </w:rPr>
              <w:t>(1)</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(4,174)</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564"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At December 31, 2023</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2,017</w:t>
            </w:r>
            <w:r>
              <w:rPr>
                <w:color w:val="000000"/>
              </w:rPr>
              <w:t>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97</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419</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Recognized in the Consolidated Statements of Operations and Comprehensive Loss for the years ended December 31, 2023 and 2022, respectively.</w:t>
      </w:r>
    </w:p>
    <w:p>
      <w:pPr>
        <w:pStyle w:val="TextBody"/>
        <w:bidi w:val="0"/>
        <w:spacing w:lineRule="auto" w:line="276" w:before="0" w:after="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These liabilities were settled in connection with the Merger. See Note 4 (Recapitalization Transaction).</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during the years ended December 31, 2023 or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16. Related Parties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convertible notes with certain related parties at December 31, 2021. The convertible notes were settled in connection with the Merger. See Note 4 (Recapitalization Transaction). The following tables provides the balances owed and associated finance costs as follows:</w:t>
      </w:r>
    </w:p>
    <w:tbl>
      <w:tblPr>
        <w:tblW w:w="6506" w:type="dxa"/>
        <w:jc w:val="left"/>
        <w:tblInd w:w="0" w:type="dxa"/>
        <w:tblLayout w:type="fixed"/>
        <w:tblCellMar>
          <w:top w:w="28" w:type="dxa"/>
          <w:left w:w="28" w:type="dxa"/>
          <w:bottom w:w="28" w:type="dxa"/>
          <w:right w:w="28" w:type="dxa"/>
        </w:tblCellMar>
      </w:tblPr>
      <w:tblGrid>
        <w:gridCol w:w="1239"/>
        <w:gridCol w:w="1088"/>
        <w:gridCol w:w="1092"/>
        <w:gridCol w:w="196"/>
        <w:gridCol w:w="406"/>
        <w:gridCol w:w="109"/>
        <w:gridCol w:w="109"/>
        <w:gridCol w:w="109"/>
        <w:gridCol w:w="109"/>
        <w:gridCol w:w="196"/>
        <w:gridCol w:w="421"/>
        <w:gridCol w:w="109"/>
        <w:gridCol w:w="109"/>
        <w:gridCol w:w="109"/>
        <w:gridCol w:w="109"/>
        <w:gridCol w:w="196"/>
        <w:gridCol w:w="646"/>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Convertible notes debt from related parties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owed to related parties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See description of transactions with CF&amp;Co. and Liberty Investment as part of the Merger Transaction described in Note 4 </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 xml:space="preserve">Reverse Recapitalization).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made purchases totaling $1.8 million from our equity method investee, OS, in the year ended December 31,2023 and there was $0.3 million owed to OS and included in accounts payable at December 31,2023. See Note 20 (Equity Method Investment).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CF&amp;Co, which is the beneficial owner of more than 5% of the Company’s outstanding Class A Ordinary Shares, served as the Company’s financial advisor in connection with the offering and sale of the Secured Convertible Notes. Pursuant to a letter agreement, CF&amp;Co will receive a fee equal to $0.9 million after the closing of the Secured Convertible Notes. Howard Lutnick, a member of the Company’s Board of Directors, is the Chief Executive Office of CF&amp;Co.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21 (Subsequent Events) for additional details on the Secured Convertible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17. Debt</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There was no debt as of December 31, 2023 and December 31, 2022. </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Convertible Notes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April 2021, we and our 2018 and 2019 convertible note holders agreed to extend the maturity date of the 2018 and 2019 convertible notes from April and September 2021, respectively, to April 2022, and recognized a loss on extinguishment of debt of $37.2 million on the Consolidated Statements of Operations and Comprehensive Loss for the year ended December 31, 2021. </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January 25, 2022, the convertible notes were converted into 17,980,954 Class A ordinary shares. See Note 4 (Reverse Recapitalization).</w:t>
      </w:r>
    </w:p>
    <w:p>
      <w:pPr>
        <w:pStyle w:val="TextBody"/>
        <w:bidi w:val="0"/>
        <w:spacing w:lineRule="auto" w:line="276"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Cantor Loan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Pursuant to</w:t>
      </w:r>
      <w:r>
        <w:rPr>
          <w:color w:val="000000"/>
        </w:rPr>
        <w:t xml:space="preserve"> </w:t>
      </w:r>
      <w:r>
        <w:rPr>
          <w:rFonts w:ascii="Times New Roman;sans-serif" w:hAnsi="Times New Roman;sans-serif"/>
          <w:b w:val="false"/>
          <w:color w:val="000000"/>
          <w:sz w:val="20"/>
        </w:rPr>
        <w:t>the Promissory Note Waiver Letter, the Company repaid the Cantor Loan, including all principal and interest, by the issuance of 788,021 Class A ordinary shares. Such repayment occurred on the Closing Date.</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Promissory Note Waiver Letter included a provision where in the event the VWAP is less than $10.00 per Class A ordinary share, CF&amp;Co. will be entitled to receive a certain number of additional Class A ordinary shares (the “Cantor Loan Additional Shares”), up to a maximum of 197,005 Cantor Loan Additional Shares (if the Adjustment Period VWAP, as defined in the Promissory Note Waiver Letter, is less than or equal to $8.00 per share).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extinguished the remaining Cantor Loan liability through the issuance of 26,050 Cantor Loan Additional Shares on May 9, 2022 pursuant to the terms of the Promissory Note Waiver Letter.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Columbia Loan </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shd w:fill="FFFFFF" w:val="clear"/>
        </w:rPr>
        <w:t>On March 8, 2021, we signed an Exchange Agreement in conjunction with a Loan and Security Agreement and warrant with Columbia, a holder of Series A, Series B and Series B-1 preferred shares and convertible notes. The Exchange Agreement requires Columbia to sell back to us all its outstanding shares and Notes debt, in exchange for a loan and security interest in the principal amount of $40.1 million (the “Columbia Loan”), which represented the outstanding balance of the notes including unpaid accrued interest, in exchange for the Columbia Warrant. In connection with the Merger and as provided in the Exchange Agreement, we reacquired treasury stock having a fair value of $170.9 million, the Columbia Loan was settled and t</w:t>
      </w:r>
      <w:r>
        <w:rPr>
          <w:rFonts w:ascii="Times New Roman;sans-serif" w:hAnsi="Times New Roman;sans-serif"/>
          <w:b w:val="false"/>
          <w:color w:val="000000"/>
          <w:sz w:val="20"/>
        </w:rPr>
        <w:t xml:space="preserve">he fair value of the Columbia Warrant of $124.8 million was reclassified to additional paid-in capital.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18. Leases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operating leases relating to office facilities, manufacturing facilities and ground stations. Lease terms range from two years to 10 years.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leases include options for early termination. The Company utilizes the base period as the lease term when initially recognizing right-of-use assets and lease liabilities, unless it is reasonably certain that a termination option will be exercised.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the following lease costs related to our operating leases for the years ended December 31, 2023 and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tbl>
      <w:tblPr>
        <w:tblW w:w="5126" w:type="dxa"/>
        <w:jc w:val="left"/>
        <w:tblInd w:w="0" w:type="dxa"/>
        <w:tblLayout w:type="fixed"/>
        <w:tblCellMar>
          <w:top w:w="28" w:type="dxa"/>
          <w:left w:w="28" w:type="dxa"/>
          <w:bottom w:w="28" w:type="dxa"/>
          <w:right w:w="28" w:type="dxa"/>
        </w:tblCellMar>
      </w:tblPr>
      <w:tblGrid>
        <w:gridCol w:w="716"/>
        <w:gridCol w:w="630"/>
        <w:gridCol w:w="633"/>
        <w:gridCol w:w="196"/>
        <w:gridCol w:w="556"/>
        <w:gridCol w:w="109"/>
        <w:gridCol w:w="109"/>
        <w:gridCol w:w="109"/>
        <w:gridCol w:w="109"/>
        <w:gridCol w:w="196"/>
        <w:gridCol w:w="556"/>
        <w:gridCol w:w="109"/>
        <w:gridCol w:w="109"/>
        <w:gridCol w:w="109"/>
        <w:gridCol w:w="109"/>
        <w:gridCol w:w="196"/>
        <w:gridCol w:w="421"/>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lease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costs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240" w:after="283"/>
        <w:jc w:val="both"/>
        <w:rPr/>
      </w:pPr>
      <w:r>
        <w:rPr>
          <w:rFonts w:ascii="Times New Roman;sans-serif" w:hAnsi="Times New Roman;sans-serif"/>
          <w:b w:val="false"/>
          <w:color w:val="000000"/>
          <w:sz w:val="18"/>
        </w:rPr>
        <w:t xml:space="preserve">Cash paid for amounts included in the measurement of operating lease liabilities were as follows for the years ended </w:t>
      </w:r>
      <w:r>
        <w:rPr>
          <w:rFonts w:ascii="Times New Roman;sans-serif" w:hAnsi="Times New Roman;sans-serif"/>
          <w:b w:val="false"/>
          <w:color w:val="000000"/>
          <w:sz w:val="20"/>
        </w:rPr>
        <w:t>December 31, 2023</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18"/>
        </w:rPr>
        <w:t>.</w:t>
      </w:r>
    </w:p>
    <w:tbl>
      <w:tblPr>
        <w:tblW w:w="5006" w:type="dxa"/>
        <w:jc w:val="left"/>
        <w:tblInd w:w="0" w:type="dxa"/>
        <w:tblLayout w:type="fixed"/>
        <w:tblCellMar>
          <w:top w:w="28" w:type="dxa"/>
          <w:left w:w="28" w:type="dxa"/>
          <w:bottom w:w="28" w:type="dxa"/>
          <w:right w:w="28" w:type="dxa"/>
        </w:tblCellMar>
      </w:tblPr>
      <w:tblGrid>
        <w:gridCol w:w="592"/>
        <w:gridCol w:w="520"/>
        <w:gridCol w:w="522"/>
        <w:gridCol w:w="196"/>
        <w:gridCol w:w="631"/>
        <w:gridCol w:w="109"/>
        <w:gridCol w:w="109"/>
        <w:gridCol w:w="109"/>
        <w:gridCol w:w="109"/>
        <w:gridCol w:w="196"/>
        <w:gridCol w:w="631"/>
        <w:gridCol w:w="109"/>
        <w:gridCol w:w="109"/>
        <w:gridCol w:w="109"/>
        <w:gridCol w:w="109"/>
        <w:gridCol w:w="196"/>
        <w:gridCol w:w="496"/>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(508)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future undiscounted cash flows related to the lease payments over the lease term and the reconciliation to the present value of the operating lease liabilities at December 31, 2023 is as follows:</w:t>
      </w:r>
    </w:p>
    <w:tbl>
      <w:tblPr>
        <w:tblW w:w="3899" w:type="dxa"/>
        <w:jc w:val="left"/>
        <w:tblInd w:w="0" w:type="dxa"/>
        <w:tblLayout w:type="fixed"/>
        <w:tblCellMar>
          <w:top w:w="28" w:type="dxa"/>
          <w:left w:w="28" w:type="dxa"/>
          <w:bottom w:w="28" w:type="dxa"/>
          <w:right w:w="28" w:type="dxa"/>
        </w:tblCellMar>
      </w:tblPr>
      <w:tblGrid>
        <w:gridCol w:w="921"/>
        <w:gridCol w:w="812"/>
        <w:gridCol w:w="817"/>
        <w:gridCol w:w="287"/>
        <w:gridCol w:w="837"/>
        <w:gridCol w:w="225"/>
      </w:tblGrid>
      <w:tr>
        <w:trPr/>
        <w:tc>
          <w:tcPr>
            <w:tcW w:w="92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Years Ended</w:t>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remaining lease payments</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4,174</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Present value of lease liability</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3,932</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2,143</w:t>
            </w: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w:t>
            </w:r>
          </w:p>
        </w:tc>
        <w:tc>
          <w:tcPr>
            <w:tcW w:w="2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1,789</w:t>
            </w:r>
            <w:r>
              <w:rPr>
                <w:color w:val="000000"/>
              </w:rPr>
              <w:t> </w:t>
            </w:r>
          </w:p>
        </w:tc>
        <w:tc>
          <w:tcPr>
            <w:tcW w:w="2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pPr>
      <w:r>
        <w:rPr>
          <w:rFonts w:ascii="Times New Roman;sans-serif" w:hAnsi="Times New Roman;sans-serif"/>
          <w:b w:val="false"/>
          <w:color w:val="000000"/>
          <w:sz w:val="20"/>
        </w:rPr>
        <w:t xml:space="preserve">The weighted-average remaining years for the operating leases are 4.5 years and 5.7 years as of December 31, 2023 and 2022, respectively. The weighted-average discount rate for operating leases is 4.9% and 4.6% as of December 31, 2023 and 2022, respectively. For the years ended December 31, 2023 and 2022, the Company obtained </w:t>
      </w:r>
      <w:r>
        <w:rPr>
          <w:rFonts w:ascii="Times New Roman;sans-serif" w:hAnsi="Times New Roman;sans-serif"/>
          <w:b w:val="false"/>
          <w:color w:val="000000"/>
          <w:sz w:val="20"/>
          <w:shd w:fill="FFFFFF" w:val="clear"/>
        </w:rPr>
        <w:t>$3.1 million and $7.2 million, respectively of r</w:t>
      </w:r>
      <w:r>
        <w:rPr>
          <w:rFonts w:ascii="Times New Roman;sans-serif" w:hAnsi="Times New Roman;sans-serif"/>
          <w:b w:val="false"/>
          <w:color w:val="000000"/>
          <w:sz w:val="20"/>
        </w:rPr>
        <w:t xml:space="preserve">ight-of-use assets for new operating lease obligations.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19. Commitments and Contingencies</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be named from time to time as a party to lawsuits arising in the ordinary course of business related to its sales, marketing, and the provision of its services and equipment. Litigation and contingency accruals are based on our assessment, including advice of legal counsel, regarding the expected outcome of litigation or other dispute resolution proceedings. If we determine that an unfavorable outcome is probable and can be reasonably assessed, we establish the necessary accruals. As of December 31, 2023 and December 31, 2022, we are not aware of any contingent liabilities that should be reflected in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20. Equity Method Investment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6, 2022, we entered into an Investment Agreement with OS, a company engaged in the design and production of telescopes and opto-mechanical and aerospace instrumentation for ground and space-based applications, to purchase 5% (283,725 shares) of OS’s outstanding common shares for $3.7 million. Additionally, OS issued 524,715 stock warrants to us, giving us the right to convert each warrant into a single common share over a period of up to 36 months. The investment was completed on September 30, 2022. Emiliano Kargieman, our Chief Executive Officer, was appointed to OS’s board of directors. The inclusion of Mr. Kargieman on OS’s board of directors, the option to purchase additional shares, and being a significant customer of OS gives the Company a certain level of control that makes the equity method of accounting appropriate even though the Company’s investment is less than 20%.</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investment has a carrying value of $3.8 million as of December 31, 2023 and is included in Other non-current assets on the Consolidated Balance Sheets. The aggregate value of the investment based on the quoted market price is approximately $3.1 million.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21. Subsequent Events</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Secured Convertible Notes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12, 2024, the Company, Borrower, and Holder Representative entered into the Note Purchase Agreement with the Purchaser, pursuant to which the Borrower agreed to issue the Secured Convertible Notes in the aggregate principal amount of $30 million to the Purchaser. The net proceeds from the issuance of the Secured Convertible Notes, after deducting transaction fees and other debt issuance costs, was approximately $27.6 million. The Secured Convertible Notes initially bear interest at a rate of SOFR plus 6.50% per annum, subject to an additional 4.0% per annum if certain events of default occur and are continuing. The Secured Convertible Notes are guaranteed by the Company and each of the Company’s material subsidiaries (other than the Borrower), and are secured by substantially all of the Company’s and its subsidiaries’ assets (including all of its intellectual property). The Borrower may issue additional Secured Convertible Notes under the terms thereof, provided the aggregate principal outstanding amount does not exceed $50 million. The Secured Convertible Notes mature on April 12, 2028</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Secured Convertible Notes are convertible into shares of the Company’s Class A ordinary shares at an initial conversion price of $1.20 (or 833 Class A ordinary shares per $1,000 principal amount of Secured Convertible Notes), subject to customary anti-dilution adjustments. The Company’s ability to settle conversions using the Company’s Class A ordinary shares is subject to CFIUS Approval (as defined in the Secured Convertible Notes).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 asset sale by the Company (outside the ordinary course of business) or an insurance or condemnation event that results in net proceeds to the Company in excess of $2 million, the Borrower will be required to offer to prepay the Secured Convertible Notes up to the amount of such proceeds at par (unless such proceeds are used to purchase comparable assets within six months). In the event the Secured Convertible Notes are accelerated as a result of an event of default, the Borrower must pay a pre-payment penalty equal to 5% of the greater of (i) the outstanding principal amount and (ii) the then-prevailing conversion value. In connection with a change of control of the Company (including delisting of the Company’s Class A Ordinary shares), the holder has the right to require the Company to repurchase the Secured Convertible Notes for cash at a price equal to the greater of (i) 105% of the redemption value of the Secured Convertible Notes or (ii) 105% of the then-prevailing conversion value, plus accrued but unpaid interest thereon, as well as any other amounts owed (the “Put Price”). The Borrower also has the right to repurchase or force-convert the Secured Convertible Notes in connection with a full acquisition of the Company at the Put Price.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Secured Convertible Notes contain standard certain restrictive covenants, including restrictions on (i) incurring indebtedness, subject to certain exceptions (including the ability to issue additional Secured Convertible Notes; provided the aggregate principal outstanding amount does not exceed $50 million), (ii) creating certain liens, subject to certain exceptions, (iii) the payment of dividends or other restricted payments, (iv) the sale, transfer or otherwise conveyance of certain assets, subject to asset sale pre-payment described above, and (v) affiliate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share and per share information, unless otherwise stated)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the Company also entered into (i) a side letter with the Purchaser (the “Side Letter”), pursuant to which the Purchaser will be entitled to pre-emptive rights, in order to maintain its as-converted ownership percentage on the same basis as new capital raised and (ii) a registration rights agreement with the Purchaser (the “Registration Rights Agreement”), pursuant to which the Company agreed to register for resale the Class A Ordinary Shares issuable upon conversion of the Secured Convertible Notes.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CF&amp;Co served as the Company’s financial advisor in connection with the offering and sale of the Secured Convertible Notes. Pursuant to a letter agreement, CF&amp;Co will receive a fee equal to $0.9 million after the closing of the Secured Convertible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left"/>
        <w:rPr/>
      </w:pPr>
      <w:r>
        <w:rPr>
          <w:rFonts w:ascii="Times New Roman;sans-serif" w:hAnsi="Times New Roman;sans-serif"/>
          <w:b w:val="false"/>
          <w:color w:val="000000"/>
          <w:sz w:val="20"/>
        </w:rPr>
        <w:t>B.    </w:t>
      </w:r>
      <w:r>
        <w:rPr>
          <w:rFonts w:ascii="Times New Roman;sans-serif" w:hAnsi="Times New Roman;sans-serif"/>
          <w:b/>
          <w:color w:val="000000"/>
          <w:sz w:val="20"/>
        </w:rPr>
        <w:t>Significant Changes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9.    THE OFFER AND LISTING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A.</w:t>
      </w:r>
      <w:r>
        <w:rPr>
          <w:color w:val="000000"/>
        </w:rPr>
        <w:t>    </w:t>
      </w:r>
      <w:r>
        <w:rPr>
          <w:rFonts w:ascii="Times New Roman;sans-serif" w:hAnsi="Times New Roman;sans-serif"/>
          <w:b/>
          <w:color w:val="000000"/>
          <w:sz w:val="20"/>
        </w:rPr>
        <w:t>Offer and Listing Details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Class A ordinary shares and Public Warrants are listed on Nasdaq Capital Market under the symbols “SATL” and “SATLW”,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left"/>
        <w:rPr/>
      </w:pPr>
      <w:r>
        <w:rPr>
          <w:rFonts w:ascii="Times New Roman;sans-serif" w:hAnsi="Times New Roman;sans-serif"/>
          <w:b w:val="false"/>
          <w:color w:val="000000"/>
          <w:sz w:val="20"/>
        </w:rPr>
        <w:t>B.    </w:t>
      </w:r>
      <w:r>
        <w:rPr>
          <w:rFonts w:ascii="Times New Roman;sans-serif" w:hAnsi="Times New Roman;sans-serif"/>
          <w:b/>
          <w:color w:val="000000"/>
          <w:sz w:val="20"/>
        </w:rPr>
        <w:t>Plan of Distribution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left"/>
        <w:rPr/>
      </w:pPr>
      <w:r>
        <w:rPr>
          <w:rFonts w:ascii="Times New Roman;sans-serif" w:hAnsi="Times New Roman;sans-serif"/>
          <w:b w:val="false"/>
          <w:color w:val="000000"/>
          <w:sz w:val="20"/>
        </w:rPr>
        <w:t>C.    </w:t>
      </w:r>
      <w:r>
        <w:rPr>
          <w:rFonts w:ascii="Times New Roman;sans-serif" w:hAnsi="Times New Roman;sans-serif"/>
          <w:b/>
          <w:color w:val="000000"/>
          <w:sz w:val="20"/>
        </w:rPr>
        <w:t>Markets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A ordinary shares and Public Warrants are listed on the Nasdaq Capital Market under the symbols “SATL” and “SATLW,”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both"/>
        <w:rPr/>
      </w:pPr>
      <w:r>
        <w:rPr>
          <w:rFonts w:ascii="Times New Roman;sans-serif" w:hAnsi="Times New Roman;sans-serif"/>
          <w:b w:val="false"/>
          <w:color w:val="000000"/>
          <w:sz w:val="20"/>
        </w:rPr>
        <w:t>D.    </w:t>
      </w:r>
      <w:r>
        <w:rPr>
          <w:rFonts w:ascii="Times New Roman;sans-serif" w:hAnsi="Times New Roman;sans-serif"/>
          <w:b/>
          <w:color w:val="000000"/>
          <w:sz w:val="20"/>
        </w:rPr>
        <w:t>Selling Shareholders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both"/>
        <w:rPr/>
      </w:pPr>
      <w:r>
        <w:rPr>
          <w:rFonts w:ascii="Times New Roman;sans-serif" w:hAnsi="Times New Roman;sans-serif"/>
          <w:b w:val="false"/>
          <w:color w:val="000000"/>
          <w:sz w:val="20"/>
        </w:rPr>
        <w:t>E.    </w:t>
      </w:r>
      <w:r>
        <w:rPr>
          <w:rFonts w:ascii="Times New Roman;sans-serif" w:hAnsi="Times New Roman;sans-serif"/>
          <w:b/>
          <w:color w:val="000000"/>
          <w:sz w:val="20"/>
        </w:rPr>
        <w:t>Dilution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both"/>
        <w:rPr/>
      </w:pPr>
      <w:r>
        <w:rPr>
          <w:rFonts w:ascii="Times New Roman;sans-serif" w:hAnsi="Times New Roman;sans-serif"/>
          <w:b w:val="false"/>
          <w:color w:val="000000"/>
          <w:sz w:val="20"/>
        </w:rPr>
        <w:t>F.    </w:t>
      </w:r>
      <w:r>
        <w:rPr>
          <w:rFonts w:ascii="Times New Roman;sans-serif" w:hAnsi="Times New Roman;sans-serif"/>
          <w:b/>
          <w:color w:val="000000"/>
          <w:sz w:val="20"/>
        </w:rPr>
        <w:t>Expenses of the Issue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10.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both"/>
        <w:rPr/>
      </w:pPr>
      <w:r>
        <w:rPr>
          <w:rFonts w:ascii="Times New Roman;sans-serif" w:hAnsi="Times New Roman;sans-serif"/>
          <w:b w:val="false"/>
          <w:color w:val="000000"/>
          <w:sz w:val="20"/>
        </w:rPr>
        <w:t>A.    </w:t>
      </w:r>
      <w:r>
        <w:rPr>
          <w:rFonts w:ascii="Times New Roman;sans-serif" w:hAnsi="Times New Roman;sans-serif"/>
          <w:b/>
          <w:color w:val="000000"/>
          <w:sz w:val="20"/>
        </w:rPr>
        <w:t>Share Capital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both"/>
        <w:rPr/>
      </w:pPr>
      <w:r>
        <w:rPr>
          <w:rFonts w:ascii="Times New Roman;sans-serif" w:hAnsi="Times New Roman;sans-serif"/>
          <w:b w:val="false"/>
          <w:color w:val="000000"/>
          <w:sz w:val="20"/>
        </w:rPr>
        <w:t>B.    </w:t>
      </w:r>
      <w:r>
        <w:rPr>
          <w:rFonts w:ascii="Times New Roman;sans-serif" w:hAnsi="Times New Roman;sans-serif"/>
          <w:b/>
          <w:color w:val="000000"/>
          <w:sz w:val="20"/>
        </w:rPr>
        <w:t>Memorandum and Articles of Association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Governing Documents were most recently amended and restated on March 8, 2023 and are included as Exhibit 1.1 to this Report. The description of our Company Governing Documents is included in our Registration Statement on Form F-4 (333-258764) initially filed with the SEC on August 12, 2021 and declared effective by the SEC on November 12, 2021 (the “Form F-4”) as supplemented by the prospectus supplement (the “Supplement”) to the Form F-4 in the section entitled “Description of PubCo Securities” and in the Supplement in the section entitled “Management of PubCo following the Business Combination - Amended PubCo Governing Documents”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both"/>
        <w:rPr/>
      </w:pPr>
      <w:r>
        <w:rPr>
          <w:rFonts w:ascii="Times New Roman;sans-serif" w:hAnsi="Times New Roman;sans-serif"/>
          <w:b w:val="false"/>
          <w:color w:val="000000"/>
          <w:sz w:val="20"/>
        </w:rPr>
        <w:t>C.    </w:t>
      </w:r>
      <w:r>
        <w:rPr>
          <w:rFonts w:ascii="Times New Roman;sans-serif" w:hAnsi="Times New Roman;sans-serif"/>
          <w:b/>
          <w:color w:val="000000"/>
          <w:sz w:val="20"/>
        </w:rPr>
        <w:t>Material Contracts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entered into any material contracts within the two years immediately preceding the date of the Form 20-F other than those entered into in the ordinary course of business.</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both"/>
        <w:rPr/>
      </w:pPr>
      <w:r>
        <w:rPr>
          <w:rFonts w:ascii="Times New Roman;sans-serif" w:hAnsi="Times New Roman;sans-serif"/>
          <w:b w:val="false"/>
          <w:color w:val="000000"/>
          <w:sz w:val="20"/>
        </w:rPr>
        <w:t>D.    </w:t>
      </w:r>
      <w:r>
        <w:rPr>
          <w:rFonts w:ascii="Times New Roman;sans-serif" w:hAnsi="Times New Roman;sans-serif"/>
          <w:b/>
          <w:color w:val="000000"/>
          <w:sz w:val="20"/>
        </w:rPr>
        <w:t>Exchange Controls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foreign exchange controls or foreign exchange regulations under the currently applicable laws of the BVI.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540"/>
        <w:jc w:val="both"/>
        <w:rPr/>
      </w:pPr>
      <w:r>
        <w:rPr>
          <w:rFonts w:ascii="Times New Roman;sans-serif" w:hAnsi="Times New Roman;sans-serif"/>
          <w:b w:val="false"/>
          <w:color w:val="000000"/>
          <w:sz w:val="20"/>
        </w:rPr>
        <w:t>E.    </w:t>
      </w:r>
      <w:r>
        <w:rPr>
          <w:rFonts w:ascii="Times New Roman;sans-serif" w:hAnsi="Times New Roman;sans-serif"/>
          <w:b/>
          <w:color w:val="000000"/>
          <w:sz w:val="20"/>
        </w:rPr>
        <w:t>Taxation</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summary of the material BVI and U.S. federal income tax consequences of ownership of Class A ordinary shares and Warrants to acquire Class A ordinary shares, sometimes referred to collectively in the summary as our “securities,” is based upon laws and relevant interpretations thereof in effect as of the date of this Report, all of which are subject to change. This summary does not deal with all possible tax consequences relating to an investment in our securities, such as the tax consequences under state, local and other tax laws.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BVI Taxation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Subject to the effectiveness of the Domestication, as further described under “</w:t>
      </w:r>
      <w:r>
        <w:rPr>
          <w:rFonts w:ascii="Times New Roman;sans-serif" w:hAnsi="Times New Roman;sans-serif"/>
          <w:b w:val="false"/>
          <w:i/>
          <w:color w:val="000000"/>
          <w:sz w:val="20"/>
        </w:rPr>
        <w:t>Risks Relating to the Change in Our Jurisdiction of Incorporation,</w:t>
      </w:r>
      <w:r>
        <w:rPr>
          <w:color w:val="000000"/>
        </w:rPr>
        <w:t xml:space="preserve">” </w:t>
      </w:r>
      <w:r>
        <w:rPr>
          <w:rFonts w:ascii="Times New Roman;sans-serif" w:hAnsi="Times New Roman;sans-serif"/>
          <w:b w:val="false"/>
          <w:color w:val="000000"/>
          <w:sz w:val="20"/>
        </w:rPr>
        <w:t xml:space="preserve">we are currently incorporated under the laws of the BVI. The Government of the BVI does not, under existing legislation, impose any income, corporate or capital gains tax, estate duty, inheritance tax, gift tax or withholding tax upon us or our securityholders. The BVI is not party to any double taxation treaties.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all distributions, interest and other amounts paid by us to persons who are not persons resident in the BVI, are exempt from the provisions of the Income Tax Act in the BVI. Any capital gains realized, with respect to any of our shares, debt obligations or other securities by persons who are not resident in the BVI, are exempt from all forms of taxation in the BVI. As of January 1, 2007, the Payroll Taxes Act, 2004 came into force. It will not apply to us except to the extent we have employees (and deemed employees) rendering services to us wholly or mainly in the BVI. At present, we have no employees in the BVI and have no intention of having any employees in the BVI.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estate, inheritance, succession or gift tax, rate, duty, levy or other charge is payable by persons who are not persons resident in the BVI with respect to any of our shares, debt obligations or other securities.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instruments relating to transactions with respect to our shares, debt obligations or other securities and all instruments relating to other transactions relating to our business are exempt from the payment of stamp duty in the BVI.</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currently no withholding taxes or exchange control regulations in the BVI applicable to us or our securityholders.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U.S. Federal Income Taxation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discussion of certain U.S. federal income tax consequences for U.S. holders and non-U.S. holders (each as defined below) relating to the acquisition, ownership and disposition of our Class A ordinary shares and Warrants to acquire Class A ordinary shares. This discussion addresses only those holders that hold their Class A ordinary shares and Warrants to acquire our Class A ordinary shares as capital assets within the meaning of Section 1221 of the Code (generally, property held for investment).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discussion does not address all U.S. federal income tax consequences that may be relevant to a holder’s particular circumstances, including the impact of the Medicare contribution tax on net investment income. In addition, it does not address consequences relevant to holders subject to special rules, including, without limitation: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U.S. expatriates and former citizens or long-term residents of the United States;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persons subject to the alternative minimum tax;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persons holding our Class A ordinary shares or Warrants to acquire our Class A ordinary shares as part of a hedge, straddle or other risk reduction strategy or as part of a conversion transaction or other integrated transaction;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banks, insurance companies and other financial institutions;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brokers, dealers or traders in securities;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controlled foreign corporations” (“CFC”), “passive foreign investment companies” (“PFIC”), and corporations that accumulate earnings to avoid U.S. federal income tax;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tax-exempt organizations or governmental organizations;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persons subject to special tax accounting rules as a result of any item of gross income with respect to Class A ordinary shares or Warrants to acquire our Class A ordinary shares being taken into account in an applicable financial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Class A ordinary shares or Warrants to acquire Class A ordinary shares being taken into account in an applicable financial statement;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U.S. holders whose functional currency is not the U.S. dollar;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holders independently, or through attribution, owning 5% or more (by vote or value) of Class A ordinary shares;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regulated investment companies or real estate investment trusts;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qualified retirement plans, individual retirement accounts or other tax-deferred accounts;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qualified foreign pension funds,” as defined in Section 897(l)(2) of the Code, and entities all of the interests of which are held by qualified foreign pension funds.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 entity or arrangement is treated as a partnership (or other pass-through entity or arrangement) for U.S. federal income tax purposes, the tax treatment of the persons treated as partners (or other owners) will generally depend on the status of the partners, the activities of the partnership and certain determinations made at the partner level. Accordingly, partnerships (or other pass-through entities or arrangements) and the partners (or other owners) in such partnerships (or such other pass-through entities or arrangements) should consult their own tax advisors regarding the U.S. federal income tax consequences to them relating to the matters discussed below.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this discussion, a “U.S. holder” is a beneficial owner of our Class A ordinary shares and/or Warrants to acquire our Class A ordinary shares that is, for U.S. federal income tax purposes: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an individual who is a citizen or resident of the United States,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corporation (or other entity taxable as a corporation for U.S. federal income tax purposes) organized in or under the laws of the United States, in any state thereof or the District of Columbia,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an estate, the income of which is subject to U.S. federal income tax regardless of its source, or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an entity treated as a trust that (1) is subject to the primary supervision of a U.S. court and the control of one or more “United States persons” (within the meaning of Section 7701(a)(30) of the Code) or (2) was in existence on August 20, 1996 and has a valid election in effect to be treated as a United States person for U.S. federal income tax purposes.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Also, for purposes of this discussion, a “non-U.S. holder” is any beneficial owner of Class A ordinary shares and/or Warrants to acquire Class A ordinary shares who or that is neither a U.S. holder nor an entity or arrangement classified as a partnership for U.S. federal income tax purposes.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DISCUSSION IS FOR INFORMATIONAL PURPOSES ONLY AND IS NOT TAX ADVICE. INVESTORS SHOULD CONSULT THEIR TAX ADVISORS WITH RESPECT TO THE APPLICATION OF THE U.S. FEDERAL INCOME TAX LAWS TO THEIR PARTICULAR FACTS AND CIRCUMSTANCES, AS WELL AS ANY TAX CONSEQUENCES ARISING UNDER THE U.S. FEDERAL ESTATE OR GIFT TAX LAWS OR UNDER THE LAWS OF ANY STATE, LOCAL OR NON-U.S. TAXING JURISDICTION OR UNDER ANY APPLICABLE INCOME TAX TREATY.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U.S. Holders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Dividends and Other Distributions on Class A Ordinary Shares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Subject to the PFIC rules discussed below under the heading “</w:t>
      </w:r>
      <w:r>
        <w:rPr>
          <w:color w:val="000000"/>
        </w:rPr>
        <w:t xml:space="preserve"> —</w:t>
      </w:r>
      <w:r>
        <w:rPr>
          <w:rFonts w:ascii="Times New Roman;sans-serif" w:hAnsi="Times New Roman;sans-serif"/>
          <w:b w:val="false"/>
          <w:i/>
          <w:color w:val="000000"/>
          <w:sz w:val="20"/>
        </w:rPr>
        <w:t>Passive Foreign Investment Company Rules</w:t>
      </w:r>
      <w:r>
        <w:rPr>
          <w:rFonts w:ascii="Times New Roman;sans-serif" w:hAnsi="Times New Roman;sans-serif"/>
          <w:b w:val="false"/>
          <w:color w:val="000000"/>
          <w:sz w:val="20"/>
        </w:rPr>
        <w:t>,” distributions (including, for the avoidance of doubt and for the purpose of the balance of this discussion, deemed distributions) on Class A ordinary shares will generally be taxable as a dividend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its Class A ordinary shares. Any remaining excess will be treated as gain realized on the sale or other disposition of Class A ordinary shares and will be treated as described below under the heading “—</w:t>
      </w:r>
      <w:r>
        <w:rPr>
          <w:rFonts w:ascii="Times New Roman;sans-serif" w:hAnsi="Times New Roman;sans-serif"/>
          <w:b w:val="false"/>
          <w:i/>
          <w:color w:val="000000"/>
          <w:sz w:val="20"/>
        </w:rPr>
        <w:t>Sale, Taxable Exchange or Other Taxable Disposition of Our Class A Ordinary shares and Warrants to acquire Class A Ordinary Shares</w:t>
      </w:r>
      <w:r>
        <w:rPr>
          <w:rFonts w:ascii="Times New Roman;sans-serif" w:hAnsi="Times New Roman;sans-serif"/>
          <w:b w:val="false"/>
          <w:color w:val="000000"/>
          <w:sz w:val="20"/>
        </w:rPr>
        <w:t xml:space="preserve">.” The amount of any such distribution will include any amounts withheld, if any, by us (or another applicable withholding agent). Except as expressly provided herein, it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that we will determine earnings and profits in accordance with U.S. federal income tax principles. Therefore, U.S. holders should expect that a distribution will generally be treated as a dividend.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treated as dividends that we pay to a U.S. holder that is a taxable corporation generally will be taxed at regular tax rates and will not qualify for the dividends received deduction generally allowed to domestic corporations in respect of dividends received from other domestic corporations. With respect to non-corporate U.S. holders, under tax laws currently in effect and subject to certain exceptions described below, dividends generally will be taxed at the lower applicable long-term capital gains rate only if Class A ordinary shares are readily tradable on an established securities market in the United States or we are eligible for benefits under an applicable tax treaty with the United States, and, in each case, we are not treated as a PFIC with respect to such U.S. holder at the time the dividend was paid or in the preceding year, and provided certain holding period and other requirements are met. U.S. Treasury Department guidance indicates that Class A ordinary shares, which are listed on the Nasdaq exchange, will be readily tradable on an established securities market in the United States. There can be no assurance, however, that Class A ordinary shares will be considered readily tradable on an established securities market in later years. Non-corporate U.S. holders that do not meet a minimum holding period requirement during which they are not protected from the risk of loss or that elect to treat the dividend income as “investment income” for purposes of investment interest deduction limitations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taxable as dividends generally will be treated as income from sources outside the U.S. and will, depending on the circumstances of the U.S. holder, be “passive” or “general” category income which, in either case, is treated separately from other types of income for purposes of computing the foreign tax credit allowable to such U.S. holder. The rules governing foreign tax credits are complex and U.S. holders are urged to consult their tax advisers regarding the creditability of foreign taxes in their particular circumstances. In lieu of claiming a foreign tax credit, a U.S. holder may, in certain circumstances, deduct foreign taxes in computing their taxable income, subject to generally applicable limitations under U.S. federal income tax law. Generally, an election to deduct foreign taxes instead of claiming foreign tax credits applies to all foreign taxes paid or accrued in the taxable year.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Sale, Taxable Exchange or Other Taxable Disposition of Our Class A Ordinary Shares and Warrants to acquire Class A Ordinary Shares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Subject to the PFIC rules discussed below under the heading “</w:t>
      </w:r>
      <w:r>
        <w:rPr>
          <w:color w:val="000000"/>
        </w:rPr>
        <w:t xml:space="preserve"> —</w:t>
      </w:r>
      <w:r>
        <w:rPr>
          <w:rFonts w:ascii="Times New Roman;sans-serif" w:hAnsi="Times New Roman;sans-serif"/>
          <w:b w:val="false"/>
          <w:i/>
          <w:color w:val="000000"/>
          <w:sz w:val="20"/>
        </w:rPr>
        <w:t>Passive Foreign Investment Company Rules</w:t>
      </w:r>
      <w:r>
        <w:rPr>
          <w:rFonts w:ascii="Times New Roman;sans-serif" w:hAnsi="Times New Roman;sans-serif"/>
          <w:b w:val="false"/>
          <w:color w:val="000000"/>
          <w:sz w:val="20"/>
        </w:rPr>
        <w:t xml:space="preserve">,” upon any sale, exchange or other taxable disposition of Class A ordinary shares or Warrants to acquire Class A ordinary shares, a U.S. holder generally will recognize gain or loss in an amount equal to the difference between (i) the sum of (x) the amount of cash and (y) the fair market value of any other property received in such sale, exchange or other taxable disposition and (ii) the U.S. holder’s adjusted tax basis in such Class A ordinary shares or Warrants to acquire Class A ordinary shares. Any gain or loss recognized on the sale, exchange or other taxable disposition of Class A ordinary shares or Warrants to acquire Class A ordinary shares generally will be capital gain or loss and will be long-term capital gain or loss if the U.S. holder’s holding period for such Class A ordinary shares or Warrants to acquire Class A ordinary shares exceeds one year. Long-term capital gain realized by a non-corporate U.S. holder generally will be taxable at a reduced rate. The deduction of capital losses is subject to limitations.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Any gain or loss recognized on the sale, exchange or other taxable disposition of Class A ordinary shares or Warrants to acquire Class A ordinary shares generally will be U.S.-source income or loss for purposes of computing the foreign tax credit allowable to a U.S. holder.</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Exercise, Lapse or Redemption of Warrants to acquire Our Class A Ordinary Shares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PFIC rules discussed below and except as discussed below with respect to the cashless exercise of a Warrant, a U.S. holder generally will not recognize taxable gain or loss on the exercise of a Warrant. The U.S. holder’s tax basis in the common stock received upon exercise of a Warrant generally will be an amount equal to the sum of the U.S. holder’s adjusted tax basis in the Warrant and the exercise price of such Warrant. It is unclear whether the U.S. holder’s holding period for Class A ordinary shares received upon exercise of the Warrants to acquire Class A ordinary shares will begin on the date following the date of exercise or on the date of exercise of the Warrants to acquire Class A ordinary shares; in either case, the holding period will not include the period during which the U.S. holder held the Warrants to acquire Class A ordinary shares. If a Warrant to acquire Class A ordinary shares is allowed to lapse unexercised, a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 generally will recognize a capital loss equal to such U.S. holder’s tax basis in the Warrant to acquire Class A ordinary shares.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consequences of a cashless exercise of a Warrant to acquire Class A ordinary shares are not clear under current tax law. Subject to the PFIC rules discussed below, a cashless exercise may be tax-free, either because the exercise is not a realization event or because the exercise is treated as a recapitalization for U.S. federal income tax purposes. In either tax-free situation, a U.S. holder’s basis in our Class A ordinary shares received would equal the holder’s basis in the Warrants to acquire Class A ordinary shares. If the cashless exercise were treated as not being a realization event, it is unclear whether a U.S. holder’s holding period in the Class A ordinary shares will commence on the date following the date of exercise or on the date of exercise of the Warrant. If the cashless exercise were treated as a recapitalization, the holding period of the Class A ordinary shares would include the holding period of the Warrants to acquire Class A ordinary shares.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also possible that a cashless exercise could be treated in part as a taxable exchange in which gain or loss would be recognized. In such event, a U.S. holder could be deemed to have surrendered a number of Warrants to acquire our Class A ordinary shares having an aggregate fair market value equal to the exercise price for the total number of Warrants to acquire our Class A ordinary shares to be exercised, and the U.S. holder would recognize capital gain or loss in an amount equal to the difference between the fair market value of the Warrants to acquire our Class A ordinary shares deemed surrendered and the U.S. holder’s tax basis in such Warrants to acquire our Class A ordinary shares. In that case, a U.S. holder’s tax basis in our Class A ordinary shares received would equal the sum of the U.S. holder’s tax basis in the Warrants to acquire Class A ordinary shares exercised and the exercise price of such Warrants to acquire Class A ordinary shares. It is unclear whether a U.S. holder’s holding period for our Class A ordinary shares would commence on the date following the date of exercise or on the date of exercise of the Warrants to acquire Class A ordinary shares; in either case, the holding period would not include the period during which the U.S. holder held the Warrants to acquire our Class A ordinary shares. There may also be alternative characterizations of any such taxable exchange that would result in similar tax consequences, except that a U.S. holder’s gain or loss would be short-term.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absence of authority on the U.S. federal income tax treatment of a cashless exercise, including when a U.S. holder’s holding period would commence with respect to our Class A ordinary shares received, there can be no assurance which, if any, of the alternative tax consequences and holding periods described above would be adopted by the IRS or a court of law. Accordingly, U.S. holders should consult their tax advisors regarding the tax consequences of a cashless exercise.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Possible Constructive Distributions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terms of each Warrant to acquire our Class A ordinary shares provide for an adjustment to the number of Class A ordinary shares for which the Warrant to acquire Class A ordinary shares may be exercised or to the exercise price of the Warrant in certain events, as discussed in this Report. An adjustment that has the effect of preventing dilution generally is not a taxable event. Nevertheless, a U.S. holder of the Warrants to acquire our Class A ordinary shares would be treated as receiving a constructive distribution from us if, for example, the adjustment increases the holders’ proportionate interest in our assets or earnings and profits (e.g., through an increase in the number of our Class A ordinary shares that would be obtained upon exercise) as a result of a distribution of cash to the holders of Class A ordinary shares, which is taxable to such holders as described under “—</w:t>
      </w:r>
      <w:r>
        <w:rPr>
          <w:rFonts w:ascii="Times New Roman;sans-serif" w:hAnsi="Times New Roman;sans-serif"/>
          <w:b w:val="false"/>
          <w:i/>
          <w:color w:val="000000"/>
          <w:sz w:val="20"/>
        </w:rPr>
        <w:t>Dividends and Other Distributions on Our Class A Ordinary Shares</w:t>
      </w:r>
      <w:r>
        <w:rPr>
          <w:color w:val="000000"/>
        </w:rPr>
        <w:t xml:space="preserve">” </w:t>
      </w:r>
      <w:r>
        <w:rPr>
          <w:rFonts w:ascii="Times New Roman;sans-serif" w:hAnsi="Times New Roman;sans-serif"/>
          <w:b w:val="false"/>
          <w:color w:val="000000"/>
          <w:sz w:val="20"/>
        </w:rPr>
        <w:t xml:space="preserve">above. Such constructive distribution would be subject to tax as described under that section in the same manner as if the U.S. holders of the Warrants to acquire Class A ordinary shares received a cash distribution from us equal to the fair market value of such increased interest.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Passive Foreign Investment Company Rules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adverse U.S. federal income tax consequences could apply to a U.S. holder if we are treated as a passive foreign investment company, or a PFIC, for any taxable year during which the U.S. holder holds our Class A ordinary shares or Warrants to acquire our Class A ordinary shares. A non-U.S. corporation, such as ours, will be classified as a PFIC for U.S. federal income tax purposes for any taxable year in which, after applying certain look-through rules,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Generally, cash is considered to be held for the production of passive income and therefore is treated as a passive asset. For purposes of the PFIC income test and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test described above, if we own, directly or indirectly, 25% or more of the total value of the outstanding shares of another corporation, we will be treated as if it (a) held a proportionate share of the assets of such other corporation and (b) received directly a proportionate share of the income of such other corporation.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not been classified as a PFIC in 2023 or in any prior taxable year. PFIC status depends on the composition of our (and our subsidiaries’) income and assets and the fair market value of our (and our subsidiaries’) assets from time to time, as well as on the application of complex statutory and regulatory rules that are subject to potentially varying or changing interpretations. This conclusion is a factual determination, however, that must be made annually at the close of each taxable year and, thus, is subject to change. Accordingly, no assurance can be provided with respect to our status as a PFIC for our current taxable year or in a future taxable year.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a PFIC for any taxable year during which a U.S. holder owns our Class A ordinary shares or Warrants to acquire our Class A ordinary shares and the U.S. holder did not make the qualified electing fund, or QEF, or mark-to-market elections discussed below (including if such elections are not available), we or such non-U.S. subsidiary generally will continue to be a PFIC with respect to that U.S. holder for all succeeding years during which the U.S. holder owns our Class A ordinary shares or Warrants to acquire our Class A ordinary shares, even if we cease to meet the thresholds set forth under the asset test or the income test above, unless the U.S. holder makes a “deemed sale” election with respect to its Class A ordinary shares. If a U.S. holder makes a “deemed sale” election, it will be deemed to have sold our Class A ordinary shares at their fair market value and any gain from such deemed sale would be subject to the rules described in the following paragraphs. After the deemed sale election, so long as we do not become a PFIC in a subsequent taxable year, our Class A ordinary shares with respect to which such election was made will not be treated as shares in a PFIC and, as a result, the U.S. holder will not be subject to the rules described below with respect to any “excess distribution” it receives from us or any gain from an actual sale or other disposition of our Class A ordinary shares. U.S. holders are strongly urged to consult their tax advisors as to the possibility and consequences of making a deemed sale election if we are and then cease to be a PFIC and such an election becomes available.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a PFIC for any taxable year during which a U.S. holder holds Class A ordinary shares, then, unless the U.S. holder makes either an applicable PFIC election (or elections), as further described below, for our first taxable year and each subsequent taxable year in which we were treated as a PFIC, such U.S. holder generally will be subject to special adverse tax rules with respect to any “excess distribution” that it receives and any gain that it recognizes from a sale or other disposition, including certain pledges, of Class A ordinary shares. For this purpose, distributions received in a taxable year that are greater than 125% of the average annual distributions received during the shorter of the three preceding taxable years or the U.S. holder’s holding period for our Class A ordinary shares will be treated as an excess distribution. Under these rules: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excess distribution or recognized gain will be allocated ratably over the U.S. holder’s holding period for Class A ordinary shares;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amount of the excess distribution or recognized gain allocated to the taxable year of distribution or gain, and to any taxable years in the U.S. holder’s holding period prior to the first taxable year in which we were treated as a PFIC, will be treated as ordinary income;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amount of the excess distribution or recognized gain allocated to each other taxable year will be subject to the highest tax rate in effect for individuals or corporations, as applicable, for each such year and the resulting tax will be subject to the interest charge generally applicable to underpayments of tax.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a PFIC for any taxable year during which a U.S. holder holds Class A ordinary shares and any of our non-U.S. subsidiaries or other corporate entities in which we own equity interests is also a PFIC, the U.S. holder would be treated as owning a proportionate amount (by value) of the shares of each such non-U.S. entity classified as a PFIC (each such entity, a lower-tier PFIC). Rules similar to those described above and below would apply to such shares. There can be no assurance that any of our non-U.S. subsidiaries will not be classified as a PFIC for any taxable year. U.S. holders should consult their own tax advisor regarding the application of the PFIC rules to our lower-tier PFICs (if any).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if we are determined to be a PFIC, a U.S. holder may avoid the adverse PFIC tax consequences described above in respect of Class A ordinary shares (but not Warrants to acquire Class A ordinary shares) by making and maintaining a timely and valid QEF election (if eligible to do so) to include in income its pro rata share of our (and any lower-tier PFICs’) net capital gains (as long-term capital gain) and other earnings and profits (as ordinary income), on a current basis, in each case whether or not distributed, in the first taxable year of the U.S. holder in which or with which our taxable year ends and each subsequent taxable year. A U.S. holder generally may make a separate election to defer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of taxes on undistributed income inclusions under the QEF rules, but if deferred, any such taxes will be subject to an interest charge.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U.S. holder has made a QEF election with respect to its Class A ordinary shares (and any lower-tier PFICs), and the excess distribution rules discussed above do not apply to such shares (because a timely QEF election for us (and each lower-tier PFIC) was made in its first taxable year as a PFIC in which the U.S. holder holds (or is deemed to hold) such shares or a purge of the PFIC taint was made pursuant to a purging election, such as the deemed sale election as described above), any gain recognized on the sale of Class A ordinary shares generally will be taxable as capital gain and no additional interest charge will be imposed under the PFIC rules. U.S. holders should consult their tax advisors as to the application of the rules governing purging elections to their particular circumstances. As discussed above, if we are a PFIC for any taxable year, a U.S. holder of Class A ordinary shares that has made a QEF election will be currently taxed on its pro rata share of our earnings and profits, whether or not distributed for such year. A subsequent distribution of such earnings and profits that were previously included in income generally may not be treated as dividends when distributed to such electing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Class A ordinary shares for such a taxable year.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QEF election is made on a stockholder-by-stockholder basis and once made, can be revoked only with the consent of the IRS. In order to make a QEF election, a U.S. holder must receive a PFIC Annual Information Statement from us (or the lower-tier PFIC, if applicable), which includes information about our (or the lower-tier PFIC’s) ordinary earnings and net capital gain.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provided below, (i) within 120 days after the end of each of our taxable years for which we reasonably believe that it may be a PFIC, we will determine our PFIC status and the PFIC status of each of its non-U.S. subsidiaries, and make those statuses available to its stockholders and (ii) if we determine that we are, or could reasonably be deemed to be, a PFIC for any taxable year, we will use commercially reasonable efforts to provide, and cause our non-U.S. subsidiaries that are PFICs, to provide, U.S. holders with tax information necessary to enable each U.S. holder to make a QEF election with respect to us and our non-U.S. subsidiaries, including a PFIC Annual Information Statement. Our obligation to determine our PFIC status and the PFIC status of each of our non-U.S. subsidiaries, and our obligation to provide tax information, will last until the later of (x) five years after the end of our taxable year ended December 31, 2021, or (y) such time as we have reasonably determined that we are not a PFIC for three (3) consecutive taxable years. After such period, we currently intend to continue to determine our PFIC status and the PFIC status of each of our non-U.S. subsidiaries, and to provide the necessary information described above (including a PFIC Annual Information Statement) but there can be no assurance that we will in fact make those determinations or provide the necessary information.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Alternatively, if we are a PFIC and our Class A ordinary shares constitute “marketable stock,” a U.S. holder may avoid the adverse PFIC tax consequences discussed above if such U.S. holder makes a mark-to-market election with respect to such shares for the first taxable year in which it holds (or is deemed to hold) Class A ordinary shares and each subsequent taxable year. Such U.S. holder generally will include for each of its taxable years as ordinary income the excess, if any, of the fair market value of its Class A ordinary shares at the end of such year over its adjusted basis in its Class A ordinary shares. These amounts of ordinary income would not be eligible for the favorable tax rates applicable to qualified dividend income or long-term capital gains. The U.S. holder also will recognize an ordinary loss in respect of the excess, if any, of its adjusted basis of its Class A ordinary shares stock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a mark-to-market election may not be made with respect to Warrants to acquire Class A ordinary shares. Also, because a mark-to-market election cannot be made for any lower-tier PFICs that we may own, if we were a PFIC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taxable year, a U.S. holder that makes the mark-to-market election may continue to be subject to the tax and interest charges under the general PFIC rules with respect to such U.S. holder’s indirect interest in any of our subsidiaries that are PFICs.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mark-to-market election is available only for “marketable stock”—generally, stock that is regularly traded on a national securities exchange that is registered with the SEC, including Nasdaq (on which our Class A ordinary shares are listed). If made, a mark-to-market election would be effective for the taxable year for which the election was made and for all subsequent taxable years unless our Class A ordinary shares ceases to qualify as “marketable stock” for purposes of the PFIC rules or the IRS consents to the revocation of the election. U.S. holders are urged to consult their tax advisors regarding the availability and tax consequences of a mark-to-market election with respect to our Class A ordinary shares under their particular circumstances.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application of the PFIC rules to Warrants to acquire our Class A ordinary shares is unclear. Proposed Treasury regulations issued under the PFIC rules generally treats an “option” (which would include a Warrant to acquire Class A ordinary shares) to acquire the stock of a PFIC as stock of the PFIC, while final Treasury regulations issued under the PFIC rules provides that the QEF election does not apply to options and no mark-to-market election (discussed above) is currently available with respect to options. Therefore, if the proposed Treasury regulations are finalized in their current form, U.S. holders of Warrants to acquire our Class A ordinary shares would be subject to the PFIC rules described above but would not be able to make any PFIC elections with respect to Warrants to acquire Class A ordinary shares.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a U.S. holder may make a QEF election with respect to an Ordinary Share acquired upon the exercise of a Warrant to acquire our Class A ordinary shares and a QEF election previously made with respect to our Class A ordinary shares will apply to our Class A ordinary shares newly acquired upon exercise of a Warrant to acquire Class A ordinary shares. Notwithstanding such QEF election, the adverse tax consequences relating to PFIC shares, adjusted to take into account the current income inclusions resulting from the QEF election, will continue to apply with respect to such newly acquired Class A ordinary shares (which under proposed regulations, will be deemed to have a holding period for purposes of the PFIC rules that includes the period the U.S. holder held Warrants to acquire Class A ordinary shares), unless the U.S. holder makes a purging election under the PFIC rules (such as the deemed sale election discussed above). U.S. holders should consult with their own tax advisors regarding the application of the PFIC rules to Warrants to acquire Class A ordinary shares.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U.S. holder that owns (or is deemed to own) shares in a PFIC during any taxable year of the U.S. holder may have to file an IRS Form 8621 (Information Return by a Shareholder of a Passive Foreign Investment Company or Qualified Electing Fund)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rules dealing with PFICs and with the purging, QEF, and mark-to-market elections are very complex and are affected by various factors in addition to those described above. Accordingly, U.S. holders of our Class A ordinary shares and Warrants to acquire our Class A ordinary shares are urged to consult their own tax advisors concerning the application of the PFIC rules to our securities under their particular circumstances.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Information Reporting, Backup Withholding and Additional Reporting Requirements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 payments with respect to our Class A ordinary shares and proceeds from the sale, exchange or redemption of our Class A ordinary shares or Warrants to acquire our Class A ordinary shares may be subject to information reporting filed with the IRS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 Backup withholding is not an additional tax. Any amounts withheld under the backup withholding rules may be allowed as a refund or a credit against a U.S. holder’s federal income tax liability provided that the required information is timely furnished to the IRS.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U.S. holders (and to the extent provided in IRS guidance, certain individual non-U.S. holders) holding specified foreign financial assets with an aggregate value in excess of the applicable dollar thresholds may be required to report information to the IRS relating to our Class A ordinary shares or Warrants to acquire our Class A ordinary shares, subject to certain exceptions (including an exception for Class A ordinary shares held in accounts maintained by U.S. financial institutions), by attaching a complete IRS Form 8938 (Statement of Specified Foreign Financial Assets) with their tax return for each year in which they hold our Class A ordinary shares or Warrants to acquire our Class A ordinary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 penalties apply to any failure to file IRS Form 8938 and the period of limitations on assessment and collection of U.S. federal income taxes will be extended in the event of a failure to comply. U.S. holders are urged to consult their tax advisors regarding the effect, if any, of these rules on the ownership and disposition of our Class A ordinary shares or Warrants to acquire our Class A ordinary shares.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Non-U.S. Holders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Dividends and Other Distributions on Class A Ordinary Shares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Subject to the discussion below concerning backup withholding, non-U.S. holders generally will not be subject to U.S. federal income tax or withholding tax on dividends (including dividends with respect to constructive distributions, as further described under the heading “</w:t>
      </w:r>
      <w:r>
        <w:rPr>
          <w:color w:val="000000"/>
        </w:rPr>
        <w:t xml:space="preserve"> —</w:t>
      </w:r>
      <w:r>
        <w:rPr>
          <w:rFonts w:ascii="Times New Roman;sans-serif" w:hAnsi="Times New Roman;sans-serif"/>
          <w:b w:val="false"/>
          <w:i/>
          <w:color w:val="000000"/>
          <w:sz w:val="20"/>
        </w:rPr>
        <w:t>U.S. Holders—Possible Constructive Distributions</w:t>
      </w:r>
      <w:r>
        <w:rPr>
          <w:color w:val="000000"/>
        </w:rPr>
        <w:t>”</w:t>
      </w:r>
      <w:r>
        <w:rPr>
          <w:rFonts w:ascii="Times New Roman;sans-serif" w:hAnsi="Times New Roman;sans-serif"/>
          <w:b w:val="false"/>
          <w:color w:val="000000"/>
          <w:sz w:val="20"/>
        </w:rPr>
        <w:t>) received from us on our Class A ordinary shares(or, with respect to constructive distributions, on Warrants to acquire our Class A ordinary shares) unless the income from such dividends is effectively connected with the conduct of a trade or business of the non-U.S. holder in the United States and, if required under an applicable income tax treaty, is attributable to a permanent establishment or a fixed base maintained by the non-U.S. holder in the United States, in which case, a non-U.S. holder will be subject to regular federal income tax on such dividend generally in the same manner as discussed in the section above under “</w:t>
      </w:r>
      <w:r>
        <w:rPr>
          <w:rFonts w:ascii="Times New Roman;sans-serif" w:hAnsi="Times New Roman;sans-serif"/>
          <w:b w:val="false"/>
          <w:i/>
          <w:color w:val="000000"/>
          <w:sz w:val="20"/>
        </w:rPr>
        <w:t>U.S. Holders—Dividends and Other Distributions on Our Class A Ordinary Shares</w:t>
      </w:r>
      <w:r>
        <w:rPr>
          <w:rFonts w:ascii="Times New Roman;sans-serif" w:hAnsi="Times New Roman;sans-serif"/>
          <w:b w:val="false"/>
          <w:color w:val="000000"/>
          <w:sz w:val="20"/>
        </w:rPr>
        <w:t xml:space="preserve">,” unless an applicable income tax treaty provides otherwise. In addition, earnings and profits of such a corporate non-U.S. holder that are attributable to such dividend, as determined after allowance for certain adjustments, may be subject to an additional branch profits tax at a rate of 30%, or at a lower rate as may be specified by an applicable income tax treaty.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Sale, Taxable Exchange or other Taxable Disposition of Our Class A Ordinary Shares and Warrants to acquire Class A Ordinary Shares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discussion below concerning backup withholding, non-U.S. holders generally will not be subject to U.S. federal income tax or withholding tax on any gain realized upon the sale, exchange or other disposition of our Class A ordinary shares or Warrants to acquire our Class A ordinary shares, unless either: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gain is effectively connected with the non-U.S. holder’s conduct of a trade or business within the United States (and, if required by an applicable income tax treaty, the Non-U.S. holder maintains a permanent establishment or fixed place of business in the United States to which such gain is attributable); or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non-U.S. holder is a nonresident alien individual present in the United States for 183 days or more during the taxable year of the redemption and certain other requirements are met.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Gain described in the first bullet point above generally will be subject to U.S. federal income tax on a net income basis at the regular graduated rates. A non-U.S. holder that is a corporation may also be subject to a branch profits tax at a rate of 30% (or such lower rate specified by an applicable income tax treaty) on such effectively connected gain, as adjusted for certain items.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that the non-U.S. holder has timely filed U.S. federal income tax returns with respect to such losses. In addition, earnings and profits of a corporate non-U.S. holder that are attributable to such gain, as determined after allowance for certain adjustments, may be subject to an additional branch profits tax at a rate of 30%, or at a lower rate as may be specified by an applicable income tax treaty.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Exercise, Lapse or Redemption of Warrants to acquire Our Class A Ordinary Shares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U.S. federal income tax treatment of a non-U.S. holder’s exercise of a Warrant to acquire our Class A ordinary shares, the lapse of a Warrant held by a Non-U.S. Holder, or our redemption of Warrants to acquire our Class A ordinary shares for cash generally will correspond to the U.S. federal income tax treatment of the exercise or lapse of a Warrant by a U.S. holder, as described under “</w:t>
      </w:r>
      <w:r>
        <w:rPr>
          <w:rFonts w:ascii="Times New Roman;sans-serif" w:hAnsi="Times New Roman;sans-serif"/>
          <w:b w:val="false"/>
          <w:i/>
          <w:color w:val="000000"/>
          <w:sz w:val="20"/>
        </w:rPr>
        <w:t>U.S. Holders—Exercise, Lapse or Redemption of Warrants to acquire Our Class A Ordinary Shares,</w:t>
      </w:r>
      <w:r>
        <w:rPr>
          <w:color w:val="000000"/>
        </w:rPr>
        <w:t xml:space="preserve">” </w:t>
      </w:r>
      <w:r>
        <w:rPr>
          <w:rFonts w:ascii="Times New Roman;sans-serif" w:hAnsi="Times New Roman;sans-serif"/>
          <w:b w:val="false"/>
          <w:color w:val="000000"/>
          <w:sz w:val="20"/>
        </w:rPr>
        <w:t>above, although to the extent a cashless exercise results in a taxable exchange, the consequences would be similar to those described under the heading “—</w:t>
      </w:r>
      <w:r>
        <w:rPr>
          <w:rFonts w:ascii="Times New Roman;sans-serif" w:hAnsi="Times New Roman;sans-serif"/>
          <w:b w:val="false"/>
          <w:i/>
          <w:color w:val="000000"/>
          <w:sz w:val="20"/>
        </w:rPr>
        <w:t>Sale, Exchange, or other Taxable Disposition of Our Class A Ordinary Shares and Warrants to acquire Class A Ordinary Shares</w:t>
      </w:r>
      <w:r>
        <w:rPr>
          <w:color w:val="000000"/>
        </w:rPr>
        <w:t xml:space="preserve">” </w:t>
      </w:r>
      <w:r>
        <w:rPr>
          <w:rFonts w:ascii="Times New Roman;sans-serif" w:hAnsi="Times New Roman;sans-serif"/>
          <w:b w:val="false"/>
          <w:color w:val="000000"/>
          <w:sz w:val="20"/>
        </w:rPr>
        <w:t xml:space="preserve">for a non-U.S. holder’s gain on the sale or other disposition of Warrants to acquire Class A ordinary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Information Reporting and Backup Withholding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of dividends on our Class A ordinary shares and amounts received with respect to the sale or other disposition of our Class A ordinary shares or Warrants to acquire our Class A ordinary shares will not be subject to backup withholding, provided that the applicable withholding agent does not have actual knowledge or reason to know the holder is a U.S. person and the holder either certifies its non-U.S. status, such as by furnishing a valid IRS Form W-8BEN, W-8BEN-E or W-8ECI, or otherwise establishes an exemption. However, information returns may be filed with the IRS in connection with any payments of dividends on our Class A ordinary shares paid to the non-U.S. holder or amounts received with respect to the sale or other disposition of our Class A ordinary shares or Warrants to acquire Class A ordinary shares by the non-U.S. holder, regardless of whether any tax was actually withheld.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Copies of information returns that are filed with the IRS may be made available under the provisions of an applicable treaty or agreement to the tax authorities of the country in which the non-U.S. holder resides or is established. Backup withholding is not an additional tax. Any amounts withheld under the backup withholding rules may be allowed as a refund or a credit against a non-U.S. holder’s U.S. federal income tax liability, provided that the required information is timely furnished to the IRS. </w:t>
      </w:r>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 xml:space="preserve">THE U.S. FEDERAL INCOME TAX DISCUSSION SET FORTH ABOVE IS INCLUDED FOR GENERAL INFORMATION ONLY AND MAY NOT BE APPLICABLE TO A PARTICULAR HOLDER OF OUR SECURITIES (“HOLDERS”) DEPENDING UPON THE HOLDER’S PARTICULAR SITUATION. HOLDERS ARE URGED TO CONSULT THEIR OWN TAX ADVISOR WITH RESPECT TO THE TAX CONSEQUENCES TO THE HOLDER OF THE ACQUISITION, OWNERSHIP AND DISPOSITION OF CLASS A ORDINARY SHARES AND WARRANTS TO ACQUIRE CLASS A ORDINARY SHARES INCLUDING THE TAX CONSEQUENCES UNDER STATE, LOCAL, ESTATE, FOREIGN AND OTHER TAX LAWS AND TAX TREATIES AND THE POSSIBLE EFFECTS OF CHANGES IN U.S. OR OTHER TAX LAWS.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left"/>
        <w:rPr/>
      </w:pPr>
      <w:r>
        <w:rPr>
          <w:rFonts w:ascii="Times New Roman;sans-serif" w:hAnsi="Times New Roman;sans-serif"/>
          <w:b w:val="false"/>
          <w:color w:val="000000"/>
          <w:sz w:val="20"/>
        </w:rPr>
        <w:t>F.    </w:t>
      </w:r>
      <w:r>
        <w:rPr>
          <w:rFonts w:ascii="Times New Roman;sans-serif" w:hAnsi="Times New Roman;sans-serif"/>
          <w:b/>
          <w:color w:val="000000"/>
          <w:sz w:val="20"/>
        </w:rPr>
        <w:t>Dividends and Paying Agents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left"/>
        <w:rPr/>
      </w:pPr>
      <w:r>
        <w:rPr>
          <w:rFonts w:ascii="Times New Roman;sans-serif" w:hAnsi="Times New Roman;sans-serif"/>
          <w:b w:val="false"/>
          <w:color w:val="000000"/>
          <w:sz w:val="20"/>
        </w:rPr>
        <w:t>G.    </w:t>
      </w:r>
      <w:r>
        <w:rPr>
          <w:rFonts w:ascii="Times New Roman;sans-serif" w:hAnsi="Times New Roman;sans-serif"/>
          <w:b/>
          <w:color w:val="000000"/>
          <w:sz w:val="20"/>
        </w:rPr>
        <w:t>Statement by Experts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both"/>
        <w:rPr/>
      </w:pPr>
      <w:r>
        <w:rPr>
          <w:rFonts w:ascii="Times New Roman;sans-serif" w:hAnsi="Times New Roman;sans-serif"/>
          <w:b w:val="false"/>
          <w:color w:val="000000"/>
          <w:sz w:val="20"/>
        </w:rPr>
        <w:t>H.    </w:t>
      </w:r>
      <w:r>
        <w:rPr>
          <w:rFonts w:ascii="Times New Roman;sans-serif" w:hAnsi="Times New Roman;sans-serif"/>
          <w:b/>
          <w:color w:val="000000"/>
          <w:sz w:val="20"/>
        </w:rPr>
        <w:t>Documents on Display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certain of the informational filing requirements of the Exchange Act. Since we are a “foreign private issuer,” our officers, directors and principal stockholders are exempt from the reporting and “short-swing” profit recovery provisions contained in Section 16 of the Exchange Act, with respect to their purchase and sale of our equity securities.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We also periodically furnish to the SEC certain other reports and information on Form 6-K. Information filed with or furnished to the SEC by us will be available on our website at https://investors.satellogic.com. The SEC also maintains a website at http://www.sec.gov that contains reports and other information that we file with or furnish electronically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left"/>
        <w:rPr/>
      </w:pPr>
      <w:r>
        <w:rPr>
          <w:rFonts w:ascii="Times New Roman;sans-serif" w:hAnsi="Times New Roman;sans-serif"/>
          <w:b w:val="false"/>
          <w:color w:val="000000"/>
          <w:sz w:val="20"/>
        </w:rPr>
        <w:t>I.    </w:t>
      </w:r>
      <w:r>
        <w:rPr>
          <w:rFonts w:ascii="Times New Roman;sans-serif" w:hAnsi="Times New Roman;sans-serif"/>
          <w:b/>
          <w:color w:val="000000"/>
          <w:sz w:val="20"/>
        </w:rPr>
        <w:t>Subsidiary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11.    QUANTITATIVE AND QUALITATIVE DISCLOSURES ABOUT MARKET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12.    DESCRIPTION OF SECURITIES OTHER THAN EQUITY SECURITIES</w:t>
      </w:r>
    </w:p>
    <w:p>
      <w:pPr>
        <w:pStyle w:val="TextBody"/>
        <w:bidi w:val="0"/>
        <w:spacing w:lineRule="auto" w:line="288" w:before="120" w:after="283"/>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A.Debt Securities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B.Warrants and Rights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2.7 attached hereto is hereby incorporated by reference in response to this Item. </w:t>
      </w:r>
    </w:p>
    <w:p>
      <w:pPr>
        <w:pStyle w:val="TextBody"/>
        <w:bidi w:val="0"/>
        <w:spacing w:lineRule="auto" w:line="288" w:before="120" w:after="283"/>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C.Other Securities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120" w:after="283"/>
        <w:ind w:left="0" w:right="0" w:firstLine="180"/>
        <w:jc w:val="left"/>
        <w:rPr/>
      </w:pPr>
      <w:r>
        <w:rPr>
          <w:rFonts w:ascii="Times New Roman;sans-serif" w:hAnsi="Times New Roman;sans-serif"/>
          <w:b/>
          <w:color w:val="000000"/>
          <w:sz w:val="20"/>
        </w:rPr>
        <w:t>D.</w:t>
      </w:r>
      <w:r>
        <w:rPr>
          <w:color w:val="000000"/>
        </w:rPr>
        <w:t>    </w:t>
      </w:r>
      <w:r>
        <w:rPr>
          <w:rFonts w:ascii="Times New Roman;sans-serif" w:hAnsi="Times New Roman;sans-serif"/>
          <w:b/>
          <w:color w:val="000000"/>
          <w:sz w:val="20"/>
        </w:rPr>
        <w:t>American Depository Shares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13.    DEFAULTS, DIVIDEND ARREARAGES AND DELINQUENCIES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14.    MATERIAL MODIFICATIONS TO THE RIGHTS OF SECURITY HOLDERS AND USE OF PROCEEDS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pursuant to the Liberty Letter Agreement, and following the forfeiture of a certain number of Class B ordinary shares in connection with the Forfeiture Event under the Merger Agreement, we approved an amendment to our Company Governing Documents (referenced as Exhibit 1.1 hereto), pursuant to which the number of votes per Class B ordinary share was increased from 1.463844005 to 1.472467906. This amendment had the effect of making the aggregate number of votes attributable to holders of Class B ordinary shares equal to the aggregate number of votes attributable to the Liberty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15.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We maintain disclosure controls and procedures to ensure that information required to be disclosed in our filings under the Exchange Act is recorded, processed, summarized and reported in accordance with the requirements specified in the rules and forms of the SEC. We carried out an evaluation, under the supervision and with the participation of our management, including our Chief Executive Officer (“CEO”) and Chief Financial Officer (“CFO”), of the effectiveness of the design and operation of our “disclosure controls and procedures” (as defined in the Exchange Act Rules 13a-15(e) and 15d-15(e)) as of the end of the period covered by this Report. Based upon that evaluation, our CEO and CFO concluded that our disclosure controls and procedures as of December 31, 2023 were effective.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disclosure controls and procedures are designed to provide reasonable assurance of achieving their objectives and, as indicated in the preceding paragraph, the CEO and CFO believe that our disclosure controls and procedures are effective at that reasonable assurance level, although the CEO and CFO do not expect that the disclosure controls and procedures or internal control over financial reporting will prevent or detect all errors and all fraud. A control system, no matter how well conceived or operated, can provide only reasonable, not absolute, assurance that the objectives of the control system are met. We will continue to periodically review our disclosure controls and procedures and internal control over financial reporting and may make such modifications from time to time as it considers necessary.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Our management, including the CEO and CFO, is responsible for establishing and maintaining adequate internal control over financial reporting (as such term is defined by Rule 13a-15(f) and 15d-15(f) under the Exchange Act). Our internal control over financial reporting is a process designed to provide reasonable assurance regarding the reliability of financial reporting and the preparation of the consolidated financial statements for external purposes in accordance with U.S. GAAP and includes those policies and procedures that (i) pertain to the maintenance of records that, in reasonable detail, accurately and fairly reflect our transactions and dispositions of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has assessed the effectiveness of internal control over financial reporting as of December 31, 2023 based on the criteria established in “Internal Control-Integrated Framework (2013)” issued by the Committee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Sponsoring Organizations of the Treadway Commission. Based on such assessment and criteria, our management has concluded that our internal control over financial reporting was effective as of December 31, 2023.</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An attestation report on our internal control over financial reporting by our independent registered public accounting firm is not included herein because, as an emerging growth company, we are exempt from the requirement to provide such report.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During the year ended December 31, 2023, there have been no changes made to our internal control over financial reporting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16A.    AUDIT COMMITTEE FINANCIAL EXPERT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Board has determined that Mr. Halverson, the Chairperson of the Company’s Audit Committee, is an “audit committee financial expert,” within the meaning of paragraph (b) of Item 16A. of Form Annual Report and is also independent within the meaning of U.S. securities regulations and Nasdaq requirements. See Item 6.A “</w:t>
      </w:r>
      <w:r>
        <w:rPr>
          <w:rFonts w:ascii="Times New Roman;sans-serif" w:hAnsi="Times New Roman;sans-serif"/>
          <w:b w:val="false"/>
          <w:i/>
          <w:color w:val="000000"/>
          <w:sz w:val="20"/>
        </w:rPr>
        <w:t>Directors and Senior Management</w:t>
      </w:r>
      <w:r>
        <w:rPr>
          <w:color w:val="000000"/>
        </w:rPr>
        <w:t xml:space="preserve">” </w:t>
      </w:r>
      <w:r>
        <w:rPr>
          <w:rFonts w:ascii="Times New Roman;sans-serif" w:hAnsi="Times New Roman;sans-serif"/>
          <w:b w:val="false"/>
          <w:color w:val="000000"/>
          <w:sz w:val="20"/>
        </w:rPr>
        <w:t xml:space="preserve">for a description of Mr. Halverson’s education and experience.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 has provided that the designation of an audit committee financial expert does not make him or her an “expert” for any purpose, impose on him or her any duties, obligations or liability that are greater than the duties, obligations or liability imposed on him or her as a member of the Audit Committee and the Board in the absence of such designation, or affect the duties, obligations or liability of any other member of the Audit Committee or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16B.    CODE OF ETHICS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Ethics that applies to our senior financial officers, including our CEO, CFO, and Vice President, Corporate Controller. The Code of Ethics was adopted in November 2021 and is available on our website at https://investors.satellogic.com/corporate-governance/governance-documents. We will provide to any person without charge, upon request, a copy of the Code of Ethics by contacting Satellogic Inc. Investor Relations by telephone at 00-598-25182302 or by mail at Ruta 8 Km 17, 500, Edificio 300, Oficina 324 Zonamérica, Montevideo, 91600, Uruguay. We have not made any amendments to the above-mentioned Code of Ethics. In the year ended December 31, 2023, we have not granted a waiver (including an implicit waiver) from a provision of our Code of Ethics to any of our CEO, CFO or the Vice President, Corporate Controller that relates to one or more of the items set forth in paragraph (b) of Item 16B of Form 20-F.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16C.    PRINCIPAL ACCOUNTANT FEES AND SERVICES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External Audit Service Fees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independent external auditor is Ernst &amp; Young LLP, member firm of Ernst &amp; Young Global Limited beginning with the audit of the year ended December 31, 2022.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summary of the aggregate fees for professional services provided by our independent external auditors for the years ended December 31, 2023 and 2022: </w:t>
      </w:r>
    </w:p>
    <w:tbl>
      <w:tblPr>
        <w:tblW w:w="4344" w:type="dxa"/>
        <w:jc w:val="center"/>
        <w:tblInd w:w="0" w:type="dxa"/>
        <w:tblLayout w:type="fixed"/>
        <w:tblCellMar>
          <w:top w:w="28" w:type="dxa"/>
          <w:left w:w="28" w:type="dxa"/>
          <w:bottom w:w="28" w:type="dxa"/>
          <w:right w:w="28" w:type="dxa"/>
        </w:tblCellMar>
      </w:tblPr>
      <w:tblGrid>
        <w:gridCol w:w="815"/>
        <w:gridCol w:w="715"/>
        <w:gridCol w:w="720"/>
        <w:gridCol w:w="211"/>
        <w:gridCol w:w="466"/>
        <w:gridCol w:w="109"/>
        <w:gridCol w:w="109"/>
        <w:gridCol w:w="109"/>
        <w:gridCol w:w="109"/>
        <w:gridCol w:w="211"/>
        <w:gridCol w:w="61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Audit Fees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Audit-Related Fees</w:t>
            </w:r>
            <w:r>
              <w:rPr>
                <w:rFonts w:ascii="Times New Roman;sans-serif" w:hAnsi="Times New Roman;sans-serif"/>
                <w:b w:val="false"/>
                <w:color w:val="000000"/>
                <w:sz w:val="13"/>
              </w:rPr>
              <w:t>(2)</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Tax Fees</w:t>
            </w:r>
            <w:r>
              <w:rPr>
                <w:rFonts w:ascii="Times New Roman;sans-serif" w:hAnsi="Times New Roman;sans-serif"/>
                <w:b w:val="false"/>
                <w:color w:val="000000"/>
                <w:sz w:val="13"/>
              </w:rPr>
              <w:t>(3)</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Notes: </w:t>
      </w:r>
    </w:p>
    <w:p>
      <w:pPr>
        <w:pStyle w:val="TextBody"/>
        <w:bidi w:val="0"/>
        <w:spacing w:lineRule="auto" w:line="288" w:before="120" w:after="283"/>
        <w:ind w:left="0" w:right="0" w:hanging="540"/>
        <w:jc w:val="both"/>
        <w:rPr/>
      </w:pPr>
      <w:r>
        <w:rPr>
          <w:rFonts w:ascii="Times New Roman;sans-serif" w:hAnsi="Times New Roman;sans-serif"/>
          <w:b w:val="false"/>
          <w:color w:val="000000"/>
          <w:sz w:val="20"/>
        </w:rPr>
        <w:t>(1)</w:t>
      </w:r>
      <w:r>
        <w:rPr>
          <w:color w:val="000000"/>
        </w:rPr>
        <w:t>“</w:t>
      </w:r>
      <w:r>
        <w:rPr>
          <w:rFonts w:ascii="Times New Roman;sans-serif" w:hAnsi="Times New Roman;sans-serif"/>
          <w:b w:val="false"/>
          <w:color w:val="000000"/>
          <w:sz w:val="20"/>
        </w:rPr>
        <w:t xml:space="preserve">Audit Fees” includes fees for professional services rendered by our independent external auditors in connection with the audit of the annual consolidated financial statements, the review of interim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statements, statutory audits required internationally, other assurance procedures and the review of documents publicly filed.</w:t>
      </w:r>
    </w:p>
    <w:p>
      <w:pPr>
        <w:pStyle w:val="TextBody"/>
        <w:bidi w:val="0"/>
        <w:spacing w:lineRule="auto" w:line="288" w:before="120" w:after="283"/>
        <w:ind w:left="0" w:right="0" w:hanging="540"/>
        <w:jc w:val="both"/>
        <w:rPr/>
      </w:pPr>
      <w:r>
        <w:rPr>
          <w:rFonts w:ascii="Times New Roman;sans-serif" w:hAnsi="Times New Roman;sans-serif"/>
          <w:b w:val="false"/>
          <w:color w:val="000000"/>
          <w:sz w:val="20"/>
        </w:rPr>
        <w:t>(2)</w:t>
      </w:r>
      <w:r>
        <w:rPr>
          <w:color w:val="000000"/>
        </w:rPr>
        <w:t>“</w:t>
      </w:r>
      <w:r>
        <w:rPr>
          <w:rFonts w:ascii="Times New Roman;sans-serif" w:hAnsi="Times New Roman;sans-serif"/>
          <w:b w:val="false"/>
          <w:color w:val="000000"/>
          <w:sz w:val="20"/>
        </w:rPr>
        <w:t>Audit-Related Fees” includes accounting certificates prepared by our independent external auditors in Argentina and similar requests in other jurisdictions.</w:t>
      </w:r>
    </w:p>
    <w:p>
      <w:pPr>
        <w:pStyle w:val="TextBody"/>
        <w:bidi w:val="0"/>
        <w:spacing w:lineRule="auto" w:line="288" w:before="120" w:after="283"/>
        <w:ind w:left="0" w:right="0" w:hanging="540"/>
        <w:jc w:val="both"/>
        <w:rPr/>
      </w:pPr>
      <w:r>
        <w:rPr>
          <w:rFonts w:ascii="Times New Roman;sans-serif" w:hAnsi="Times New Roman;sans-serif"/>
          <w:b w:val="false"/>
          <w:color w:val="000000"/>
          <w:sz w:val="20"/>
        </w:rPr>
        <w:t>(3)</w:t>
      </w:r>
      <w:r>
        <w:rPr>
          <w:color w:val="000000"/>
        </w:rPr>
        <w:t>“</w:t>
      </w:r>
      <w:r>
        <w:rPr>
          <w:rFonts w:ascii="Times New Roman;sans-serif" w:hAnsi="Times New Roman;sans-serif"/>
          <w:b w:val="false"/>
          <w:color w:val="000000"/>
          <w:sz w:val="20"/>
        </w:rPr>
        <w:t xml:space="preserve">Tax Fees” includes fees for professional services rendered by our independent external auditors for transfer pricing services in Argentina and similar requests in other jurisdictions.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Pre-approval Policies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has adopted requirements regarding pre-approval of audit or non-audit services as part of its Audit Committee Charter. The Audit Committee Charter provides that the Audit Committee shall have the ultimate authority to approve all audit engagement terms and fees, and requires that the Audit Committee must approve in advance any retainer of the auditors to perform any non-audit service to us (together with all non-audit service fees) that it deems advisable in accordance with applicable requirements and the Board approved policies and procedures. The Audit Committee will consider the impact of such service and fees on the independence of the auditor. The Audit Committee may delegate pre-approval authority for non-audit services to a member of the Audit Committee; however, the decisions of any member of the Audit Committee to whom this authority has been delegated must be presented to the full Audit Committee at its next scheduled Audit Committee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16D.    EXEMPTIONS FROM THE LISTING STANDARDS FOR AUDIT COMMITTEES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16E.    PURCHASES OF EQUITY SECURITIES BY THE ISSUER AND AFFILIATED PURCHASERS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16F.    CHANGE IN REGISTRANT’S CERTIFYING ACCOUNTANT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16G.    CORPORATE GOVERNANCE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Comparison of Shareholder Rights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incorporated under, and are governed by, the laws of the BVI. The following discussion summarizes material differences between the rights of holders of our ordinary shares and the rights of common stockholders of a typical corporation incorporated under the laws of the State of Delaware.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Director’s Fiduciary Duties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Delaware corporate law, a director of a solvent Delaware corporation owes fiduciary duties to the corporation and its stockholders. These duties have two components: the duty of care and the duty of loyalty. The duty of care requires that a director inform himself of all material information regarding a decision. The duty of loyalty requires that a director act in a manner he reasonably believes to be in the best interests of the corporation and its stockholders. A director must not use his corporate position for personal gain or advantage. The duty of loyalty prohibits self-dealing by a director and mandates that the best interest of the corporation and its stockholders take precedence over any interest possessed by a director, officer or controlling stockholder that is not shared by the stockholders generally. In general, the “business judgment rule” presumes that actions of the board of directors are made on an informed basis, in good faith and in the honest belief that the action taken was in the best interests of the corporation and its stockholders. This presumption may be rebutted by evidence of a breach of the directors’ fiduciary duties. If this presumption is rebutted, the board of directors bear the burden of proving that the actions were “entirely fair” to the corporation or its minority stockholders. In addition, Delaware common law imposes “heightened” judicial scrutiny on actions of directors in certain circumstances, such as upon a sale of the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BVI law provides that every director of a BVI company in exercising his powers or performing his duties, shall act honestly and in good faith and in what the director believes to be in the best interests of the company. Additionally, the director shall exercise the care, diligence, and skill that a reasonable director would exercise in the same circumstances taking into account the nature of the company, the nature of the decision and the position of the director and his responsibilities. In addition, BVI law provides that a director shall exercise his powers as a director for a proper purpose and shall not act, or agree to the company acting, in a manner that contravenes BVI law or the memorandum and articles of association of the company.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Amendment of Company Governing Documents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Delaware corporate law, with very limited exceptions, a vote of the stockholders of a corporation is required to amend the certificate of incorporation. In addition, Delaware corporate law provides that stockholders have the right to amend the corporation’s bylaws, but the certificate of incorporation may also confer such right on the directors of the corporation.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BVI corporate law, members of a company have a general right to amend the memorandum of association or articles of association of the company by a members’ resolution. This ability to amend can (subject to certain limited exceptions) be restricted, for example: (a) by providing in the memorandum of association that specified provisions of the memorandum of association or the articles of association may not be amended; (b) by requiring a greater majority than simply in excess of 50% to amend the memorandum of association or articles of association or specified provisions in either; or (c) providing that certain provisions may only be amended if specified conditions are met. Under BVI corporate law the directors of a company may amend the memorandum and articles of association of the company where the memorandum of association permits them to do so. However, notwithstanding anything contained in the memorandum and articles of association the directors do not have the power to amend the memorandum of association or articles of association: (a) to restrict the rights of members to amend; (b) to change the percentage of members required to pass a resolution to amend; or (c) in circumstances where the members themselves cannot amend the memorandum or articles of association.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Governing Documents permit amendment by a resolution of our members or a resolution of the directors. A resolution of members to amend our Company Governing Documents shall require the affirmative vote of an absolute majority of the votes of all of our members.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Consent in Lieu of Meeting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Delaware corporate law, a consent in lieu of a meeting of the directors must be unanimous to take effect. Under BVI law only a majority of the directors are required to sign a written consent.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Delaware corporate law, unless otherwise provided in the certificate of incorporation, any action to be taken at any annual or special meeting of stockholders of a corporation may be taken without a meeting by consent of the holders of outstanding stock having not less than the minimum number of votes that would be necessary to take that action at a meeting at which all stockholders entitled to vote were present and voted. If any stockholder action is taken by less than unanimous consent, notice of such action must be given to those stockholders who have not consented and who, if the action had been taken at a meeting, would have been entitled to notice of the meeting if the record date for notice of such meeting had been the date that consents signed by a sufficient number of stockholders were delivered to the corporation.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Governing Documents do not permit any shareholder action to be taken by written consent of a majority of the votes of shares entitled to vote thereon.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Stockholder Proposals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Delaware corporate law, a stockholder has the right to put any proposal before the annual meeting of stockholders, provided it complies with the relevant provisions (if any) in the corporation’s certificate of incorporation or bylaws. A meeting of stockholders may be called by the board of directors or any other person authorized to do so by the corporation’s certificate of incorporation or bylaws; stockholders may be precluded therein from calling special meetings. BVI law provides that our directors shall call a meeting of the shareholders if requested in writing to do so by shareholders entitled to exercise at least 30% of the voting rights in respect of the matter for which the meeting is requested.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Sale of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Delaware corporate law, a vote of the stockholders is required to approve a sale, lease or exchange of property and assets of a corporation (including property and assets of its qualifying subsidiaries) only when all or substantially all of the corporation’s property and assets are being sold other than to a qualifying subsidiary of the corporation. Under BVI law generally, stockholder approval is required when more than 50% of a company’s total assets by value are being disposed of or sold to any person if not made in the usual or regular course of the business carried out by the company. Our Governing Documents disapply this general requirement.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Redemption of Shares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Delaware corporate law, by provision of the certificate of incorporation, any class or series of stock may be made subject to redemption by the corporation at its option, at the option of the holders of that stock or upon the happening of a specified event, provided that after such redemption shares of a class or series of stock with full voting power remain outstanding. The class or series of stock may, by provision of the certificate of incorporation, be made redeemable for cash, property or rights, as specified in the certificate of incorporation or in the resolution of the board of directors providing for the issue of the stock pursuant to the power expressly vested in the board of directors by the certificate of incorporation. Under Delaware corporate law, shares also may be repurchased with the consent of both the corporation and the holder, except that shares may not be repurchased for more than the price at which such shares may then be redeemed at the option of the corporation. Both the redemption and repurchase of shares of a Delaware corporation are subject to certain solvency limitations established by Delaware corporate law and Delaware common law. As permitted by BVI law and our Company Governing Documents, shares may be repurchased, redeemed or otherwise acquired by us. However, the consent of the shareholder whose shares are to be repurchased, redeemed or otherwise acquired must be obtained, except as specified in the terms of the applicable class or series of shares.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Squeeze-Out Merger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Delaware General Corporation Law § 253, in a process known as a “short form” merger, a corporation that owns at least 90% of the outstanding shares of each class of voting stock of another corporation and where at least one of the corporations is a Delaware corporation and the laws of the jurisdiction of the other corporation don’t prohibit such action, may either merge the other corporation into itself or merge itself into the other corporation by executing, acknowledging and filing with the Delaware Secretary of State a certificate of ownership and merger setting forth a copy of the resolution of its board of directors authorizing such merger. If the parent corporation is a Delaware corporation that is not the surviving corporation, the merger also must be approved by a majority of the outstanding stock of the parent corporation entitled to vote thereon and the resolution must include provision for the pro rata issuance of stock of the surviving corporation to the holders of the stock of the parent corporation on surrender of any certificate therefor. If the parent corporation does not own all of the stock of the subsidiary corporation immediately prior to the merger, the minority stockholders of the subsidiary corporation party to the merger have appraisal rights as set forth in § 262 of the Delaware General Corporation Law.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section 172 of the BVI Act, in a process known as a “parent-subsidiary merger”, a company (a “parent company”) that owns at least 90% of the outstanding shares of each class of shares in another company (a “subsidiary company”) may merge with one or more subsidiary companies, without the authorization of members of any company. The directors of the parent company must approve a written plan of merger fulfilling the requirements of the BVI Act. A copy of the plan of merger or an outline thereof must be given to every member of the subsidiary company to be merged unless the giving of that copy or outline has been waived by that member. Articles of merger must be executed by the parent company and must contain prescribed particulars including the plan of merger. The articles of merger must be filed with the BVI Registrar of Corporate Affairs together with any resolution to amend the memorandum and articles of association of the surviving company. If the parent company does not own all of the shares of the subsidiary immediately prior to the merger, the minority stockholders of the subsidiary party to the merger have rights to dissent as set forth in section 179 of the BVI Act (as further described below).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176 of the BVI Act, subject to any limitations in a company’s memorandum and articles of association, members holding 90% of the votes of the outstanding shares entitled to vote, and members holding 90% of the votes of the outstanding shares of each class of shares entitled to vote, may give a written instruction to the company directing the company to redeem the shares held by the remaining members. Minority stockholders whose shares are to be so redeemed have rights to dissent as set forth in section 179 of the BVI Act (as further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Variation of Rights of Shares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Delaware corporate law, a corporation may vary the rights of a class of stock with the approval of a majority of the outstanding shares entitled to vote thereon, and, in certain circumstances, including if such variation would change the rights of such class so as to affect them adversely, with the approval of a majority of the outstanding shares of such class, voting separately as a single class.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permitted by BVI law, all or any of the rights attached to any class of our shares (unless otherwise provided by the terms of issue of the shares of that class) may, whether or not we are being wound up, be varied: (a) without the consent of the holders of the issued shares of that class where: (i) such variation is considered by the directors not to have a material adverse effect upon such rights; or (ii) where the directors amend and restate our Company Governing Documents in a manner that creates a new class of shares with rights and provisions ranking in priority to any existing class of shares or carrying more votes per share of the new class of shares than any existing class of shares (such new class of shares however they may be described being herein referred to as “Preference Shares”) having such rights as specified by the board of directors pursuant to the resolution of directors approving the creation of such Preference Shares, and in any such resolution of directors the board of directors shall agree to amend and restate our Company Governing Documents to fully set out such rights and instruct our registered agent to file the amended and restated Company Governing Documents with the BVI Registrar of Corporate Affairs; or (b) with the sanction of a resolution passed by the holders of the shares of that class at a separate meeting of the holders of the shares of that class where not less than two thirds of the issued shares of that class were represented and voted to pass the resolution. For the purposes of a separate class meeting, unless otherwise prohibited by the rights conferred on the holders of a particular class of shares,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Election of Directors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Delaware corporate law generally, unless otherwise specified in the certificate of incorporation or bylaws of a corporation, directors are elected by a plurality of the votes of the shares entitled to vote on the election of directors and vacancies and newly created directorships resulting from an increase in the number of directors may be filled by a majority of the directors then in office (although less than a quorum) or by the sole remaining director. Subject to the BVI Act and pursuant to our Company Governing Documents, directors shall be appointed at any time, and from time to time, by our directors, without the approval of shareholders, either to fill a vacancy or as an alternate or additional director provided that the appointment does not cause the number of directors to exceed the authorized number of directors. The shareholders may, by a majority vote, appoint any person as a director.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Removal of Directors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Delaware corporate law generally, a director of a corporation without a classified board of directors may be removed, with or without cause, by the holders of a majority (or such larger portion set forth in the certificate of incorporation) of the outstanding shares entitled to vote at an election of directors. Under Delaware corporate law, generally a director of a corporation with a classified board of directors may be removed only for cause with the approval of a majority (or such larger portion set forth in the certificate of incorporation) of the outstanding shares entitled to vote at an election of directors, unless the certificate of incorporation provides otherwise. Under Delaware corporate law, generally a director may resign at any time upon notice given in writing or by electronic transmission to the corporation.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Governing Documents provide that a director may be removed at any time if: (i) such director is willfully and continually failing to substantially perform his duties; (ii) such director’s willful conduct is significantly injurious to us, monetarily or otherwise; (iii) such director is convicted or investigated in a criminal proceeding (other than traffic violations and other minor offenses); (iv) such director is censured or its equivalent by a recognized exchange (including a pending proceeding) and (v) such director has a petition under the bankruptcy of insolvency laws of a jurisdiction filed against him or there is an appointment of a receiver by a court for the business or property of the director.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Mergers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Delaware corporate law, one or more constituent corporations may merge into and become part of another constituent corporation in a process known as a merger. A Delaware corporation may merge with a foreign corporation as long as the law of the foreign jurisdiction permits such a merger. To effect a merger under Delaware General Corporation Law § 251, an agreement of merger must be properly adopted and the agreement of merger or a certificate of merger must be filed with the Delaware Secretary of State. In order to be properly adopted, the agreement of merger must be adopted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of each constituent Delaware corporation by a resolution or unanimous consent in lieu of a meeting. In addition, the agreement of merger generally must be approved at a meeting of stockholders of each constituent Delaware corporation by a majority of the outstanding stock of such corporation entitled to vote, unless the certificate of incorporation provides for a supermajority vote. In general, the surviving corporation is vested in all of the assets and liabilities of the disappearing corporation or corporations as a result of the merger.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BVI Act, two or more companies may merge or consolidate in accordance with the statutory provisions. A merger means the merging of two or more constituent companies into one of the constituent companies, and a consolidation means the uniting of two or more constituent companies into a new company. In order to merge or consolidate, the directors of each constituent company must approve a written plan of merger or consolidation, which must be authorized by a resolution of shareholders (save in the case of a “parent-subsidiary merger” as described above). One or more companies may also merge or consolidate with one or more companies incorporated under the laws of jurisdictions outside the BVI if the merger or consolidation is permitted by the laws of the jurisdictions in which the companies incorporated outside the BVI are incorporated. In respect of such a merger or consolidation, a BVI company is required to comply with the provisions of the BVI Act, and a company incorporated outside the BVI is required to comply with the laws of its jurisdiction of incorporation.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not otherwise entitled to vote on the merger or consolidation may still acquire the right to vote if the plan of merger or consolidation contains any provision that, if proposed as an amendment to the memorandum and articles of association, would entitle them to vote as a class or series on the proposed amendment. In any event, all shareholders must be given a copy of the plan of merger or consolidation irrespective of whether they are entitled to vote at the meeting or consent to the written resolution to approve the plan of merger or consolidation.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Inspection of Books and Records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Delaware corporate law, any shareholder of a corporation may, upon proper demand, and for any proper purpose, inspect or make copies of the corporation’s stock ledger, list of shareholders and other books and records. Members of the public, on payment of the requisite fee, can obtain a copy of a Delaware corporation’s certificate of incorporation.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BVI law, members of the general public, on payment of a nominal fee, can obtain copies of the public records of a company available at the office of the British Virgin Islands Registrar of Corporate Affairs, including the company’s certificate of incorporation, its memorandum and articles of association (with any amendments), a list of the names of its directors, records of license fees paid to date, any notice of appointment of liquidators, any articles of merger and any register of registered charges filing made in respect of the company.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shareholder of a BVI company is entitled, on giving written notice to the company, to inspect: </w:t>
      </w:r>
    </w:p>
    <w:p>
      <w:pPr>
        <w:pStyle w:val="TextBody"/>
        <w:bidi w:val="0"/>
        <w:spacing w:lineRule="auto" w:line="288" w:before="120" w:after="283"/>
        <w:ind w:left="0" w:right="0" w:firstLine="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memorandum and articles of association; </w:t>
      </w:r>
    </w:p>
    <w:p>
      <w:pPr>
        <w:pStyle w:val="TextBody"/>
        <w:bidi w:val="0"/>
        <w:spacing w:lineRule="auto" w:line="288" w:before="120" w:after="283"/>
        <w:ind w:left="0" w:right="0" w:firstLine="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(b)the register of members; </w:t>
      </w:r>
    </w:p>
    <w:p>
      <w:pPr>
        <w:pStyle w:val="TextBody"/>
        <w:bidi w:val="0"/>
        <w:spacing w:lineRule="auto" w:line="288" w:before="120" w:after="283"/>
        <w:ind w:left="0" w:right="0" w:firstLine="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(c)the register of directors; and </w:t>
      </w:r>
    </w:p>
    <w:p>
      <w:pPr>
        <w:pStyle w:val="TextBody"/>
        <w:bidi w:val="0"/>
        <w:spacing w:lineRule="auto" w:line="288" w:before="120" w:after="283"/>
        <w:ind w:left="0" w:right="0" w:firstLine="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(d)the minutes of meetings and resolutions of shareholders and of those classes of shares of which he is a shareholder.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shareholder may make copies of or take extracts from the documents and records referred to in (a) through (d) above. However, subject to the memorandum and articles of association of the company, the directors may, if they are satisfied that it would be contrary to the company’s interests to allow a shareholder to inspect any document, or part of any document, specified in (b), (c) or (d) above, refuse to permit the shareholder to inspect the document or limit the inspection of the document, including limiting the making of copies or the taking of extracts from the records. Where a company fails or refuses to permit a shareholder to inspect a document or permits a shareholder to inspect a document subject to limitations, that shareholder may apply to the court for an order that he should be permitted to inspect the document or to inspect the document without limitation.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 a company keeps a copy of the register of members or the register of directors at the office of its registered agent, it is required to notify the registered agent of any changes to the originals of such registers, in writing, within 15 days of any change; and to provide the registered agent with a written record of the physical address of the place or places at which the original register of members or the original register of directors is kept. Where the place at which the original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register of members or the original register of directors is changed, the company is required to provide the registered agent with the physical address of the new location of the records within 14 days of the change of location.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 is also required to keep at the office of its registered agent or at such other place or places, within or outside the BVI, as the directors determine the minutes of meetings and resolutions of shareholders and of classes of shareholders, and the minutes of meetings and resolutions of directors and committees of directors. If such records are kept at a place other than at the office of the company’s registered agent, the company is required to provide the registered agent with a written record of the physical address of the place or places at which the records are kept and to notify the registered agent, within 14 days, of the physical address of any new location where such records may be kept. Our registered office in the BVI is: c/o Maples Corporate Services (BVI) Limited, Kingston Chambers, PO Box 173, Road Town, Tortola, VG1110, British Virgin Islands. Our registered agent in the BVI is Maples Corporate Services (BVI) Limited.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Conflict of Interest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Delaware corporate law, a contract or transaction between a corporation and a director or officer, or between a corporation and any other organization in which a director or officer has a financial interest or is a director or officer, is not void or voidable as long as (i) the material facts as to the director’s or officer’s relationship or interest are disclosed or known and either (A) a majority of the disinterested directors authorizes the contract or transaction in good faith or (B) the shareholders vote in good faith to approve the contract or transaction or (ii) the contract or transaction is fair to the corporation when it is authorized, approved or ratified by the board of directors, a committee thereof or the shareholders. Delaware corporate law permits the corporation to renounce, in its certificate of incorporation or by action of its board of directors, any interest or expectancy of the corporation in, or in being offered an opportunity to participate in, specified business opportunities or specified classes or categories of business opportunities that are presented to the corporation or one or more of its officers, directors or stockholders.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BVI Act provides that a director shall, forthwith after becoming aware that he is interested in a transaction entered into or to be entered into by the company, disclose that interest to the board of directors of the company. The failure of a director to disclose that interest does not affect the validity of a transaction entered into by the director or the company, so long as the director’s interest was disclosed to the board of directors prior to the company’s entry into the transaction or was not required to be disclosed because the transaction is between the company and the director himself and is otherwise in the ordinary course of business and on usual terms and conditions. As permitted by BVI law a director interested in a particular transaction may vote on it, attend meetings at which it is considered and sign documents on our behalf that relate to the transaction. In addition, if our directors have other fiduciary obligations, including to other companies on whose board of directors they presently sit and to other companies whose board of directors they may join in the future, to the extent that they identify business opportunities that may be suitable for us or other companies on whose board of directors they may sit, our directors are permitted to honor those pre-existing fiduciary obligations ahead of their obligations to us. Accordingly, they may refrain from presenting certain opportunities to us that come to their attention in the performance of their duties as directors of such other entities unless the other companies have declined to accept such opportunities or clearly lack the resources to take advantage of such opportunities.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Transactions with “Interested Stockholders”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Delaware corporate law contains a business combination statute applicable to Delaware public corporations whereby, unless the corporation has specifically elected not to be governed by that statute by appropriate action, it is prohibited from engaging in certain business combinations with an “interested stockholder” for three years following the date that the person becomes an “interested stockholder.” An “interested stockholder” generally is a person or group that owns or owned 15% or more of the company’s outstanding voting stock within the past three years. This statute has the effect of limiting the ability of a potential acquirer to make a two-tiered bid for the company in which all shareholders would not be treated equally. The statute does not apply if, among other things, prior to the date on which the shareholder becomes an “interested stockholder,” the board of directors approves either the business combination or the transaction that resulted in the person becoming an “interested stockholder.”</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BVI law has no comparable provision. However, although BVI law does not regulate transactions between a company and its significant shareholders, it does provide that these transactions must be entered into in the bona fide best interests of the company and not with the effect of constituting a fraud on the minority shareholders.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Independent Directors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provisions under Delaware corporate law or under the BVI Act that require a majority of our directors to be independent.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Cumulative Voting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Delaware corporate law, cumulative voting for elections of directors is not permitted unless the company’s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on cumulative voting under the laws of the BVI, but our Company Governing Documents do not provide for cumulative voting.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Stockholders’ Rights under British Virgin Islands Law Generally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BVI Act provides for certain remedies that may be available to shareholders. Where a company incorporated under the BVI Act or any of its directors engages in, or proposes to engage in, conduct that contravenes the BVI Act or the company’s memorandum and articles of association, BVI courts can issue a restraining or compliance order. However, shareholders cannot also bring derivative, personal and representative actions under certain circumstances. The traditional English basis for shareholders’ remedies has also been incorporated into the BVI Act, where a shareholder of a company considers that the affairs of the company have been, are being or are likely to be conducted in a manner likely to be oppressive, unfairly discriminating or unfairly prejudicial to him, he may apply to the court for an order based on such conduct. In addition, any shareholder of a company may apply to the courts for the appointment of a liquidator of the company and the court may appoint a liquidator of the company if it is of the opinion that it is just and equitable to do so.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179 of the BVI Act also provides that any shareholder of a company is entitled to payment of the fair value of his shares upon dissenting from any of the following: (i) a merger, if the company is a constituent company, unless the company is the surviving company and the shareholder continues to hold the same or similar shares; (ii) a consolidation, if the company is a constituent company; (iii) any sale, transfer, lease, exchange or other disposition of more than 50% in value of the assets or business of the company if not made in the usual or regular course of the business carried on by the company but not including (a) a disposition pursuant to an order of the court having jurisdiction in the matter, (b) a disposition for money on terms requiring all or substantially all net proceeds to be distributed to the shareholders in accordance with their respective interest within one year after the date of disposition, or (c) a transfer pursuant to the power of the directors to transfer assets for the protection thereof; (iv) a redemption of 10% or fewer of the issued shares of the company required by the holders of 90% or more of the shares of the company pursuant to the terms of the BVI Act; and (v) an arrangement, if permitted by the court.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any other claims against a company by its shareholders must be based on the general laws of contract or tort applicable in the BVI or their individual rights as shareholders as established by a company’s memorandum and articles of association.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Foreign Private Issuer Exemption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“foreign private issuer,” as defined by the SEC, we are permitted to follow home country corporate governance practices, instead of certain corporate governance practices required by Nasdaq for U.S. domestic issuers other than with respect to certain voting and committee requirements. We may elect to avail itself of the exemptions available to it under Rule 5613(c) of the Nasdaq rules by forgoing (i) the requirement that we have a compensation committee that is composed entirely of independent directors with a written charter addressing the committee’s purpose and responsibilities and (ii) the requirement that we have a nominating and corporate governance committee composed of entirely independent directors with a written charter addressing the committee’s purpose and responsibilities. We will be eligible to take advantage of additional exemptions from certain corporate governance standards of the Nasdaq.</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home country rule exemptions set forth under Nasdaq Listing Rule 5615, we have elected to be exempt from the requirement under Nasdaq Listing Rule 5635 to obtain shareholder approval for the issuance of 20% or more of our outstanding Class A ordinary shares, including, for instance, the issuance of Class A ordinary shares issuable upon conversion of the Secured Convertible Notes. Nasdaq Listing Rule 5635 requires each issuer to obtain shareholder approval prior to certain dilutive events, including a transaction other than a public offering involving the sale of 20% or more of the issuer’s common shares outstanding prior to the transaction for less than the greater of book or market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shares. As a foreign private issuer, however, we may adopt the practices of our home country, the British Virgin Islands, which do not require shareholder approval for such issuances.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take all actions necessary for it to maintain compliance as a foreign private issuer under the applicable corporate governance requirements of the Sarbanes-Oxley Act, the rules adopted by the SEC and the Nasdaq corporate governance rules and listing standards.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are a foreign private issuer, its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16H.    MINE SAFETY DISCLOSURE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16I.    DISCLOSURE REGARDING FOREIGN JURISDICTIONS THAT PREVENT INSPECTIONS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16J.     INSIDER TRADING POLICIES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ans-serif" w:hAnsi="Times New Roman;sans-serif"/>
          <w:b/>
          <w:color w:val="000000"/>
          <w:sz w:val="20"/>
        </w:rPr>
        <w:t xml:space="preserve">Item 16K. </w:t>
      </w:r>
      <w:r>
        <w:rPr>
          <w:color w:val="000000"/>
        </w:rPr>
        <w:t>    </w:t>
      </w:r>
      <w:r>
        <w:rPr>
          <w:rFonts w:ascii="Times New Roman;sans-serif" w:hAnsi="Times New Roman;sans-serif"/>
          <w:b/>
          <w:color w:val="000000"/>
          <w:sz w:val="20"/>
        </w:rPr>
        <w:t>CYBERSECURITY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strategy followed by our Security Incident Response Team (“SIRT”) for managing material risks from cybersecurity threats is aligned to the National Institute of Standards and Technology’s (“NIST”) Cyber Security Framework 1.1 and its associated references in NIST SP 800-53r5 and NIST 800-61r2 Guides. The strategy was updated in the fourth quarter of 2023 to support our compliance with the SEC’s Rules on Cybersecurity Disclosure for Public Companies and is included in our overall enterprise risk management program.</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Incident Detection and Response (“IDR”) processes and practices include the evaluation of each identified cybersecurity threat event to determine its authenticity and potential impact or whether our systems blocked or mitigated it. Our Incident Response Standard, governed by our Incident Response Policy comprises two separate workflows, both tracked in a ticket system. The first workflow encompasses all events requiring investigation. If an event is confirmed as positive and has caused an impact, a second workflow may be triggered, engaging the Materiality Determination Committee until the incident is reported to the SEC or otherwise determined that there is no material impact.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furtherance of detecting, identifying, classifying and mitigating cybersecurity and other data security threats, we also:</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Use MFA based authentication and other cryptographical processes to address identity-based cybersecurity risks.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Use context aware access control processes.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Adopted processes to ensure security in specific remote environments.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Have implemented anti-phishing technologies.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Deploy anti-malware solutions, and have them continuously updated.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Implemented a SIEM system, where we monitor (automatically and otherwise) our networks, systems and users.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Perform periodic network and vulnerability scans of our external and internal networks and systems.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Have an incident detection and response team, with its policies and procedures, to review all events that may be part of a security incident.</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Use processes to assess and prioritize risks related to applications and how we use them.</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Ensure the asset inventory for relevant system components is kept current and accurate;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Maintain updated network and systems architecture documentation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Periodically engage well known external consultants, where appropriate, to assess, test or otherwise assist with aspects of our security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Provide mandatory training on security and compliance matters to all employees, and some more specific as roles and responsibilities require.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Have defined and periodically updated our information security policies regarding, among others, access and control, networked devices, credentials management, physical security, etc.</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Implement a secure software development life cycle and a maturity model to assess it, and accompany engineering teams during all the phases of the cycle.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Evaluate the information security risk associated with suppliers, partners, applications and services used.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a committee specifically dedicated to determining the materiality of cybersecurity incidents (the “Materiality Determination Committee”), which includes key members of our organization: the CFO, Chief Information Security Officer (“CISO”), VP Legal, and a Sr. VP of Operations, the latter having ultimate oversight responsibility for compliance matters. Once a threat event is determined to have any impact, the committee is assembled, informed and the threat event’s material impact is determined. If materiality is confirmed, then the reporting process starts in accordance with SEC rules (including reporting no later than four days after the materiality determination).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External help may be engaged at any step in the process, before or after the materiality committee is invoked, depending on the complexity and reach of the incident. Though we do not have a retainer on any external third parties, we have identified a list of potential entities to engage when needed.</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identified any cybersecurity incident that had or may have a material impact on our business whatsoever, in particular, no unauthorized access to our information technology systems that either occurred or is reasonably likely to have occurred, including of reports submitted to us by third parties (including regulatory agencies, law enforcement agencies and security consultants), to the extent that such unauthorized access to our information technology systems is reasonably likely to have a material effect on the (consolidated) financial statements, in each case or in the aggregate, and no ransomware attacks when we had been asked, paid or are contemplating paying a ransom, regardless of the amount. However, conducting our businesses involves the collection, storage, use, disclosure, processing, transfer, and other handling of a wide variety of information, including personally identifiable information, for various purposes in our businesses. Like other comparable-sized companies that process a wide variety of information, our information technology systems, networks and infrastructure and technology are assumed to be vulnerable to cybersecurity attacks and other data security threats. These types of attacks are constantly evolving, may be difficult to detect quickly, and often are not recognized until after they have been launched against a target.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ultimate oversight for risks relating to our cybersecurity strategy. In addition, the board of directors has delegated primary responsibility to the Audit Committee for assessing and managing data privacy and cybersecurity risks, reviewing steps management has taken to monitor and control such cybersecurity risks, and regularly inquiring with our management team and internal auditors in connection therewith. The Audit Committee performs quarterly reviews of any confirmed cybersecurity incident. Additionally, on a bi-annual basis, the Audit Committee receives a comprehensive update regarding any cybersecurity events occurring during the prior period, progress of cybersecurity programs, changes in cybersecurity policies, and ongoing assessments of risks and mitigation activities, and to discuss the evolution of our cybersecurity strategy. The information in these reports and the results of these discussions are used to drive alignment on, and prioritization of, initiatives to enhance our cybersecurity strategies, policies, and processes and make recommendations to improve processes.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for materiality determination of a cybersecurity threat event considers the possibility of contacting the Audit Committee for assistance, if needed, or to inform of the evolution of an incident with possible material impact.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Materiality Determination Committee is tasked with determining the materiality of cybersecurity incidents. Also every week the CISO updates the Executive Leadership Team (CEO, President, CFO, Sr. VP of Operations, Chief Technology Officer (“CTO”), Chief Product Officer (“CPO”), VP of Legal and Sr VPs of Engineering) on cybersecurity matters including any confirmed incident or any possible threat with a material or otherwise meaningful impact and shares an updated dashboard with key performance indicators on on-going efforts and long-term metrics.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CISO is directly responsible for directing, “all cyber related activities (including monitoring, preventing, detecting, mitigating, and remediating” and informing the Audit Committee of any cybersecurity incident or threat with material impact.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CISO and VP of Information Security have more than 25- and 30-years experience, respectively, working directly in the cybersecurity industry, performing and coordinating red-teaming and blue-teaming exercises, conducting research and developing cybersecurity tools and products, as well as presenting at various international conferences.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Security Team is segmented into three distinct sections: IDR, Secure Development (“SDLC”), and Infrastructure and Access Control (“IAC”). Furthermore, it collaborates with our product groups to integrate security measures into our products and services, thereby enhancing the overall security posture for our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17.    FINANCIAL STATEMENTS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Item 8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18.    FINANCIAL STATEMENTS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Item 8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19.    EXHIBITS</w:t>
      </w:r>
    </w:p>
    <w:tbl>
      <w:tblPr>
        <w:tblW w:w="10205" w:type="dxa"/>
        <w:jc w:val="center"/>
        <w:tblInd w:w="0" w:type="dxa"/>
        <w:tblLayout w:type="fixed"/>
        <w:tblCellMar>
          <w:top w:w="28" w:type="dxa"/>
          <w:left w:w="28" w:type="dxa"/>
          <w:bottom w:w="28" w:type="dxa"/>
          <w:right w:w="28" w:type="dxa"/>
        </w:tblCellMar>
      </w:tblPr>
      <w:tblGrid>
        <w:gridCol w:w="304"/>
        <w:gridCol w:w="267"/>
        <w:gridCol w:w="269"/>
        <w:gridCol w:w="109"/>
        <w:gridCol w:w="109"/>
        <w:gridCol w:w="109"/>
        <w:gridCol w:w="2645"/>
        <w:gridCol w:w="2645"/>
        <w:gridCol w:w="374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80"/>
                  <w:sz w:val="20"/>
                  <w:u w:val="single"/>
                </w:rPr>
                <w:t>Amended and Restated Memorandum of Association and Articles of Association of Satellogic Inc. dated March 8, 2023</w:t>
              </w:r>
            </w:hyperlink>
            <w:hyperlink r:id="rId8">
              <w:r>
                <w:rPr>
                  <w:rStyle w:val="InternetLink"/>
                  <w:rFonts w:ascii="Times New Roman;sans-serif" w:hAnsi="Times New Roman;sans-serif"/>
                  <w:b w:val="false"/>
                  <w:color w:val="000080"/>
                  <w:sz w:val="20"/>
                  <w:u w:val="single"/>
                </w:rPr>
                <w:t xml:space="preserve"> </w:t>
              </w:r>
            </w:hyperlink>
            <w:hyperlink r:id="rId9">
              <w:r>
                <w:rPr>
                  <w:rStyle w:val="InternetLink"/>
                  <w:rFonts w:ascii="Times New Roman;sans-serif" w:hAnsi="Times New Roman;sans-serif"/>
                  <w:b w:val="false"/>
                  <w:color w:val="000080"/>
                  <w:sz w:val="20"/>
                  <w:u w:val="single"/>
                </w:rPr>
                <w:t>(incorporated by reference to Exhibit 1</w:t>
              </w:r>
            </w:hyperlink>
            <w:hyperlink r:id="rId10">
              <w:r>
                <w:rPr>
                  <w:rStyle w:val="InternetLink"/>
                  <w:rFonts w:ascii="Times New Roman;sans-serif" w:hAnsi="Times New Roman;sans-serif"/>
                  <w:b w:val="false"/>
                  <w:color w:val="000080"/>
                  <w:sz w:val="20"/>
                  <w:u w:val="single"/>
                </w:rPr>
                <w:t>.1</w:t>
              </w:r>
            </w:hyperlink>
            <w:hyperlink r:id="rId11">
              <w:r>
                <w:rPr>
                  <w:rStyle w:val="InternetLink"/>
                  <w:rFonts w:ascii="Times New Roman;sans-serif" w:hAnsi="Times New Roman;sans-serif"/>
                  <w:b w:val="false"/>
                  <w:color w:val="000080"/>
                  <w:sz w:val="20"/>
                  <w:u w:val="single"/>
                </w:rPr>
                <w:t xml:space="preserve"> on Form 20-F filed on April 27, 2023 (file no. 001-41247)). </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"http://www.sec.gov/Archives/edgar/data/1874315/000119312521244833/d178511df4.htm" \l "anxa"</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Agreement and Plan of Merger, dated as of July 5, 2021, by and among CF Acquisition Corp. V, Satellogic Inc., Ganymede Merger Sub 2 Inc., Ganymede Merger Sub 1 Inc. and Nettar Group Inc. (incorporated by reference to Exhibit 2.1 to the Report on Form F-4 filed on August 12, 2021 (file no. 333-258764)).</w:t>
            </w:r>
            <w:r>
              <w:rPr>
                <w:rStyle w:val="InternetLink"/>
                <w:sz w:val="20"/>
                <w:u w:val="single"/>
                <w:b w:val="false"/>
                <w:rFonts w:ascii="Times New Roman;sans-serif" w:hAnsi="Times New Roman;sans-serif"/>
                <w:color w:val="0000FF"/>
              </w:rPr>
              <w:fldChar w:fldCharType="end"/>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Specimen Class A ordinary share certificate of Satellogic Inc. (incorporated by reference to Exhibit 4.1 to the Report on Form F-4 filed October 19, 2021 (file no. 333-258764)).</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Specimen Class B ordinary share certificate of Satellogic Inc. (incorporated by reference to Exhibit 4.2 to the Report on Form F-4 filed October 19, 2021 (file no. 333-258764)).</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Specimen warrant certificate of Satellogic Inc. (incorporated by reference to Exhibit 4.3 to the Report on Form F-4 filed October 19, 2021 (file no. 333-258764)).</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 xml:space="preserve">Warrant Agreement, dated January 28, 2021, by and between CF Acquisition Corp. V and Continental Stock Transfer &amp; Trust Company, as warrant agent (incorporated by reference to Exhibit 4.1 of CF Acquisition Corp. V’s Current Report on Form 8-K filed February 3, 2021). </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 xml:space="preserve">Warrant Assumption Agreement among CF Acquisition Corp. V, Satellogic Inc. and Continental Stock Transfer &amp; Trust Company, as Warrant agent, dated as of January 25, 2022 (incorporated by reference to Exhibit 2.6 to the Shell Company Report on Form 20-F filed on January 27, 2022). </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80"/>
                  <w:sz w:val="20"/>
                  <w:u w:val="single"/>
                </w:rPr>
                <w:t>F</w:t>
              </w:r>
            </w:hyperlink>
            <w:hyperlink r:id="rId18">
              <w:r>
                <w:rPr>
                  <w:rStyle w:val="InternetLink"/>
                  <w:rFonts w:ascii="Times New Roman;sans-serif" w:hAnsi="Times New Roman;sans-serif"/>
                  <w:b w:val="false"/>
                  <w:color w:val="000080"/>
                  <w:sz w:val="20"/>
                  <w:u w:val="single"/>
                </w:rPr>
                <w:t>orm of Secured Convertible Note, due 2028</w:t>
              </w:r>
            </w:hyperlink>
            <w:hyperlink r:id="rId19">
              <w:r>
                <w:rPr>
                  <w:rStyle w:val="InternetLink"/>
                  <w:rFonts w:ascii="Times New Roman;sans-serif" w:hAnsi="Times New Roman;sans-serif"/>
                  <w:b w:val="false"/>
                  <w:color w:val="000080"/>
                  <w:sz w:val="20"/>
                  <w:u w:val="single"/>
                </w:rPr>
                <w:t xml:space="preserve"> </w:t>
              </w:r>
            </w:hyperlink>
            <w:hyperlink r:id="rId20">
              <w:r>
                <w:rPr>
                  <w:rStyle w:val="InternetLink"/>
                  <w:rFonts w:ascii="Times New Roman;sans-serif" w:hAnsi="Times New Roman;sans-serif"/>
                  <w:b w:val="false"/>
                  <w:color w:val="000080"/>
                  <w:sz w:val="20"/>
                  <w:u w:val="single"/>
                </w:rPr>
                <w:t xml:space="preserve">(incorporated by reference to Exhibit </w:t>
              </w:r>
            </w:hyperlink>
            <w:hyperlink r:id="rId21">
              <w:r>
                <w:rPr>
                  <w:rStyle w:val="InternetLink"/>
                  <w:rFonts w:ascii="Times New Roman;sans-serif" w:hAnsi="Times New Roman;sans-serif"/>
                  <w:b w:val="false"/>
                  <w:color w:val="000080"/>
                  <w:sz w:val="20"/>
                  <w:u w:val="single"/>
                </w:rPr>
                <w:t>4.1</w:t>
              </w:r>
            </w:hyperlink>
            <w:hyperlink r:id="rId22">
              <w:r>
                <w:rPr>
                  <w:rStyle w:val="InternetLink"/>
                  <w:rFonts w:ascii="Times New Roman;sans-serif" w:hAnsi="Times New Roman;sans-serif"/>
                  <w:b w:val="false"/>
                  <w:color w:val="000080"/>
                  <w:sz w:val="20"/>
                  <w:u w:val="single"/>
                </w:rPr>
                <w:t xml:space="preserve"> to the Report on Form 6-K filed on April </w:t>
              </w:r>
            </w:hyperlink>
            <w:hyperlink r:id="rId23">
              <w:r>
                <w:rPr>
                  <w:rStyle w:val="InternetLink"/>
                  <w:rFonts w:ascii="Times New Roman;sans-serif" w:hAnsi="Times New Roman;sans-serif"/>
                  <w:b w:val="false"/>
                  <w:color w:val="000080"/>
                  <w:sz w:val="20"/>
                  <w:u w:val="single"/>
                </w:rPr>
                <w:t>1</w:t>
              </w:r>
            </w:hyperlink>
            <w:hyperlink r:id="rId24">
              <w:r>
                <w:rPr>
                  <w:rStyle w:val="InternetLink"/>
                  <w:rFonts w:ascii="Times New Roman;sans-serif" w:hAnsi="Times New Roman;sans-serif"/>
                  <w:b w:val="false"/>
                  <w:color w:val="000080"/>
                  <w:sz w:val="20"/>
                  <w:u w:val="single"/>
                </w:rPr>
                <w:t>2</w:t>
              </w:r>
            </w:hyperlink>
            <w:hyperlink r:id="rId25">
              <w:r>
                <w:rPr>
                  <w:rStyle w:val="InternetLink"/>
                  <w:rFonts w:ascii="Times New Roman;sans-serif" w:hAnsi="Times New Roman;sans-serif"/>
                  <w:b w:val="false"/>
                  <w:color w:val="000080"/>
                  <w:sz w:val="20"/>
                  <w:u w:val="single"/>
                </w:rPr>
                <w:t>, 2024 (file no. 001-41247)</w:t>
              </w:r>
            </w:hyperlink>
            <w:hyperlink r:id="rId26">
              <w:r>
                <w:rPr>
                  <w:rStyle w:val="InternetLink"/>
                  <w:rFonts w:ascii="Times New Roman;sans-serif" w:hAnsi="Times New Roman;sans-serif"/>
                  <w:b w:val="false"/>
                  <w:color w:val="000080"/>
                  <w:sz w:val="20"/>
                  <w:u w:val="single"/>
                </w:rPr>
                <w:t>)</w:t>
              </w:r>
            </w:hyperlink>
            <w:hyperlink r:id="rId27">
              <w:r>
                <w:rPr>
                  <w:rStyle w:val="InternetLink"/>
                  <w:rFonts w:ascii="Times New Roman;sans-serif" w:hAnsi="Times New Roman;sans-serif"/>
                  <w:b w:val="false"/>
                  <w:color w:val="000080"/>
                  <w:sz w:val="20"/>
                  <w:u w:val="single"/>
                </w:rPr>
                <w:t>.</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fexhibit81xlistofsubs.htm">
              <w:r>
                <w:rPr>
                  <w:rStyle w:val="InternetLink"/>
                  <w:rFonts w:ascii="Times New Roman;sans-serif" w:hAnsi="Times New Roman;sans-serif"/>
                  <w:b w:val="false"/>
                  <w:color w:val="0000FF"/>
                  <w:sz w:val="20"/>
                  <w:u w:val="single"/>
                </w:rPr>
                <w:t>List of Significant Subsidiaries</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Amended and Restated Forward Purchase Contract, dated as of July 5, 2021, by and among CF Acquisition Corp. V, Satellogic Inc. and CFAC Holdings V, LLC (incorporated by reference to Exhibit 10.6 to the Report on Form F-4 filed August 12, 2021 (file no. 333-258764)).</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Amended and Restated Service and Cooperation Agreement, dated September 22, 2021, by and between Zhong Ke Guang Qi Space Information Technology Co., Ltd. and Urugus S.A. (incorporated by reference to Exhibit 10.7 to the Report on Form F-4 filed September 24, 2021 (file no. 333-258764)).</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Credit Agreement, dated as of April 29, 2020, between JPMorgan Chase Bank, N.A. and Satellogic USA Inc. (incorporated by reference to Exhibit 10.8 to the Report on Form F-4 filed August 12, 2021 (file no. 333-258764)).</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Employment Agreement, dated March 1, 2020, by and between Nettar Group Inc. (d/b/a Satellogic) and Emiliano Kargieman (incorporated by reference to Exhibit 10.9 to the Report on Form F-4 filed October 19, 2021 (file no. 333-258764)).</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Warrants, dated as of March 8, 2021, between Nettar Group Inc. and Columbia River Investment Limited (incorporated by reference to Exhibit 10.10 to the Report on Form F-4 filed October 19, 2021 (file no. 333-258764)).</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Side Letter Agreement, dated April 5, 2021 between Nettar Group Inc. and Hannover Holdings S.A. (incorporated by reference to Exhibit 10.11 to the Report on Form F-4 filed November 10, 2021 (file no. 333-258764)).</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 xml:space="preserve">Loan and Security Agreement, dated as of March 8, 2021, by and among Columbia River Investment Limited and Nettar Group Inc. (incorporated by reference to Exhibit 99.1 to the Report on Form 6-K filed on December 10, 2021). </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 xml:space="preserve">Amendment to Loan and Security Agreement, dated as of December 7, 2021, by and among Columbia River Investment Limited and Nettar Group Inc. (incorporated by reference to Exhibit 99.2 to the Report on Form 6-K filed on December 10, 2021). </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 xml:space="preserve">Escrow Agreement, dated as of January 25, 2022, by and between CF Acquisition Corp. V and Continental Stock Transfer &amp; Trust Company (incorporated by reference to Exhibit 10.9 to the Shell Company Report on Form 20-F filed on January 27, 2022). </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Form of PIPE Subscription Agreement (incorporated by reference to Exhibit 10.1 to the Registration Statement on Form F-4 filed on August 12, 2021 (file no. 333-258764)).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2"/>
        <w:gridCol w:w="221"/>
        <w:gridCol w:w="223"/>
        <w:gridCol w:w="109"/>
        <w:gridCol w:w="109"/>
        <w:gridCol w:w="109"/>
        <w:gridCol w:w="2783"/>
        <w:gridCol w:w="2649"/>
        <w:gridCol w:w="3750"/>
      </w:tblGrid>
      <w:tr>
        <w:trPr/>
        <w:tc>
          <w:tcPr>
            <w:tcW w:w="2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50" w:type="dxa"/>
            <w:tcBorders/>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Subscription Agreement, dated as of January 18, 2022 by and among CF Acquisition Corp. V, Satellogic Inc., and Liberty Strategic Capital (SATL) Holdings, LLC (incorporated by reference to Exhibit 99.2 to the Report on Form 6-K filed on January 18, 2022 (file no. 333-258764)).</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Letter Agreement, dated as of January 18, 2022 by and among Satellogic Inc., Liberty Strategic Capital (SATL) Holdings, LLC and CFAC Holdings V, LLC (incorporated by reference to Exhibit 99.3 to the Report on Form 6-K filed on January 18, 2022 (file no. 333-258764)).</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Amended and Restated Letter Agreement, dated as of February 10, 2022 by and among Satellogic Inc., Liberty Strategic Capital (SATL) Holdings, LLC and CFAC Holdings V, LLC (incorporated by reference to Exhibit 10.16 to the Registration Statement on Form F-1 filed on February 14, 2022 (file no. 333-262699)).</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2021 Incentive Compensation Plan (incorporated by reference to Exhibit 10.17 to the Registration Statement on Form F-1 filed on February 14, 2022 (file no. 333-262699)).</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Warrant Agreement, dated February 10, 2022, by and between Satellogic Inc. and Continental Stock Transfer &amp; Trust Company, as warrant agent for the warrants exercisable at $10.00 per Class A Ordinary Share and $15.00 per Class A Ordinary Share (incorporated by reference to Exhibit 10.18 to the Registration Statement on Form F-1 filed on February 14, 2022 (file no. 333-262699)).</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Warrant Agreement, dated February 10, 2022, by and between Satellogic Inc. and Continental Stock Transfer &amp; Trust Company, as warrant agent for the warrants exercisable at $10.00 per Class A Ordinary Share (incorporated by reference to Exhibit 10.19 to the Registration Statement on Form F-1 filed on February 14, 2022 (file no. 333-262699)).</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Warrant Agreement, dated January 25, 2022, by and between Satellogic Inc. and Continental Stock Transfer &amp; Trust Company, as warrant agent for warrants exercisable at $20.00 per Class A Ordinary Share (incorporated by reference to Exhibit 10.20 to the Registration Statement on Form F-1 filed on February 14, 2022 (file no. 333-262699)).</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80"/>
                  <w:sz w:val="20"/>
                  <w:u w:val="single"/>
                </w:rPr>
                <w:t>Form of Restricted Stock Unit Award Agreement</w:t>
              </w:r>
            </w:hyperlink>
            <w:hyperlink r:id="rId46">
              <w:r>
                <w:rPr>
                  <w:rStyle w:val="InternetLink"/>
                  <w:rFonts w:ascii="Times New Roman;sans-serif" w:hAnsi="Times New Roman;sans-serif"/>
                  <w:b w:val="false"/>
                  <w:color w:val="000080"/>
                  <w:sz w:val="20"/>
                  <w:u w:val="single"/>
                </w:rPr>
                <w:t xml:space="preserve"> (incorporated by reference to Exhibit </w:t>
              </w:r>
            </w:hyperlink>
            <w:hyperlink r:id="rId47">
              <w:r>
                <w:rPr>
                  <w:rStyle w:val="InternetLink"/>
                  <w:rFonts w:ascii="Times New Roman;sans-serif" w:hAnsi="Times New Roman;sans-serif"/>
                  <w:b w:val="false"/>
                  <w:color w:val="000080"/>
                  <w:sz w:val="20"/>
                  <w:u w:val="single"/>
                </w:rPr>
                <w:t>10.18</w:t>
              </w:r>
            </w:hyperlink>
            <w:hyperlink r:id="rId48">
              <w:r>
                <w:rPr>
                  <w:rStyle w:val="InternetLink"/>
                  <w:rFonts w:ascii="Times New Roman;sans-serif" w:hAnsi="Times New Roman;sans-serif"/>
                  <w:b w:val="false"/>
                  <w:color w:val="000080"/>
                  <w:sz w:val="20"/>
                  <w:u w:val="single"/>
                </w:rPr>
                <w:t xml:space="preserve"> on Form 20-F filed on April 27, 2023</w:t>
              </w:r>
            </w:hyperlink>
            <w:hyperlink r:id="rId49">
              <w:r>
                <w:rPr>
                  <w:rStyle w:val="InternetLink"/>
                  <w:rFonts w:ascii="Times New Roman;sans-serif" w:hAnsi="Times New Roman;sans-serif"/>
                  <w:b w:val="false"/>
                  <w:color w:val="000080"/>
                  <w:sz w:val="20"/>
                  <w:u w:val="single"/>
                </w:rPr>
                <w:t xml:space="preserve"> (file n</w:t>
              </w:r>
            </w:hyperlink>
            <w:hyperlink r:id="rId50">
              <w:r>
                <w:rPr>
                  <w:rStyle w:val="InternetLink"/>
                  <w:rFonts w:ascii="Times New Roman;sans-serif" w:hAnsi="Times New Roman;sans-serif"/>
                  <w:b w:val="false"/>
                  <w:color w:val="000080"/>
                  <w:sz w:val="20"/>
                  <w:u w:val="single"/>
                </w:rPr>
                <w:t>o. 001-41247)</w:t>
              </w:r>
            </w:hyperlink>
            <w:hyperlink r:id="rId51">
              <w:r>
                <w:rPr>
                  <w:rStyle w:val="InternetLink"/>
                  <w:rFonts w:ascii="Times New Roman;sans-serif" w:hAnsi="Times New Roman;sans-serif"/>
                  <w:b w:val="false"/>
                  <w:color w:val="000080"/>
                  <w:sz w:val="20"/>
                  <w:u w:val="single"/>
                </w:rPr>
                <w:t xml:space="preserve">). </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80"/>
                  <w:sz w:val="20"/>
                  <w:u w:val="single"/>
                </w:rPr>
                <w:t xml:space="preserve">Form of Note Purchase Agreement (incorporated by reference to Exhibit 10.1 to the Report on Form 6-K filed on April </w:t>
              </w:r>
            </w:hyperlink>
            <w:hyperlink r:id="rId53">
              <w:r>
                <w:rPr>
                  <w:rStyle w:val="InternetLink"/>
                  <w:rFonts w:ascii="Times New Roman;sans-serif" w:hAnsi="Times New Roman;sans-serif"/>
                  <w:b w:val="false"/>
                  <w:color w:val="000080"/>
                  <w:sz w:val="20"/>
                  <w:u w:val="single"/>
                </w:rPr>
                <w:t>1</w:t>
              </w:r>
            </w:hyperlink>
            <w:hyperlink r:id="rId54">
              <w:r>
                <w:rPr>
                  <w:rStyle w:val="InternetLink"/>
                  <w:rFonts w:ascii="Times New Roman;sans-serif" w:hAnsi="Times New Roman;sans-serif"/>
                  <w:b w:val="false"/>
                  <w:color w:val="000080"/>
                  <w:sz w:val="20"/>
                  <w:u w:val="single"/>
                </w:rPr>
                <w:t>2</w:t>
              </w:r>
            </w:hyperlink>
            <w:hyperlink r:id="rId55">
              <w:r>
                <w:rPr>
                  <w:rStyle w:val="InternetLink"/>
                  <w:rFonts w:ascii="Times New Roman;sans-serif" w:hAnsi="Times New Roman;sans-serif"/>
                  <w:b w:val="false"/>
                  <w:color w:val="000080"/>
                  <w:sz w:val="20"/>
                  <w:u w:val="single"/>
                </w:rPr>
                <w:t>, 2024 (file no. 001-41247).</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80"/>
                  <w:sz w:val="20"/>
                  <w:u w:val="single"/>
                </w:rPr>
                <w:t xml:space="preserve">Form of Side Letter (incorporated by reference to Exhibit 10.2 to the Report on Form 6-K filed on April </w:t>
              </w:r>
            </w:hyperlink>
            <w:hyperlink r:id="rId57">
              <w:r>
                <w:rPr>
                  <w:rStyle w:val="InternetLink"/>
                  <w:rFonts w:ascii="Times New Roman;sans-serif" w:hAnsi="Times New Roman;sans-serif"/>
                  <w:b w:val="false"/>
                  <w:color w:val="000080"/>
                  <w:sz w:val="20"/>
                  <w:u w:val="single"/>
                </w:rPr>
                <w:t>1</w:t>
              </w:r>
            </w:hyperlink>
            <w:hyperlink r:id="rId58">
              <w:r>
                <w:rPr>
                  <w:rStyle w:val="InternetLink"/>
                  <w:rFonts w:ascii="Times New Roman;sans-serif" w:hAnsi="Times New Roman;sans-serif"/>
                  <w:b w:val="false"/>
                  <w:color w:val="000080"/>
                  <w:sz w:val="20"/>
                  <w:u w:val="single"/>
                </w:rPr>
                <w:t>2</w:t>
              </w:r>
            </w:hyperlink>
            <w:hyperlink r:id="rId59">
              <w:r>
                <w:rPr>
                  <w:rStyle w:val="InternetLink"/>
                  <w:rFonts w:ascii="Times New Roman;sans-serif" w:hAnsi="Times New Roman;sans-serif"/>
                  <w:b w:val="false"/>
                  <w:color w:val="000080"/>
                  <w:sz w:val="20"/>
                  <w:u w:val="single"/>
                </w:rPr>
                <w:t>, 2024 (file no. 001-41247).</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80"/>
                  <w:sz w:val="20"/>
                  <w:u w:val="single"/>
                </w:rPr>
                <w:t xml:space="preserve">Form of Registration Rights Agreement (incorporated by reference to Exhibit 10.3 to the Report on Form 6-K filed on April </w:t>
              </w:r>
            </w:hyperlink>
            <w:hyperlink r:id="rId61">
              <w:r>
                <w:rPr>
                  <w:rStyle w:val="InternetLink"/>
                  <w:rFonts w:ascii="Times New Roman;sans-serif" w:hAnsi="Times New Roman;sans-serif"/>
                  <w:b w:val="false"/>
                  <w:color w:val="000080"/>
                  <w:sz w:val="20"/>
                  <w:u w:val="single"/>
                </w:rPr>
                <w:t>1</w:t>
              </w:r>
            </w:hyperlink>
            <w:hyperlink r:id="rId62">
              <w:r>
                <w:rPr>
                  <w:rStyle w:val="InternetLink"/>
                  <w:rFonts w:ascii="Times New Roman;sans-serif" w:hAnsi="Times New Roman;sans-serif"/>
                  <w:b w:val="false"/>
                  <w:color w:val="000080"/>
                  <w:sz w:val="20"/>
                  <w:u w:val="single"/>
                </w:rPr>
                <w:t>2</w:t>
              </w:r>
            </w:hyperlink>
            <w:hyperlink r:id="rId63">
              <w:r>
                <w:rPr>
                  <w:rStyle w:val="InternetLink"/>
                  <w:rFonts w:ascii="Times New Roman;sans-serif" w:hAnsi="Times New Roman;sans-serif"/>
                  <w:b w:val="false"/>
                  <w:color w:val="000080"/>
                  <w:sz w:val="20"/>
                  <w:u w:val="single"/>
                </w:rPr>
                <w:t>, 2024 (file no. 001-41247)</w:t>
              </w:r>
            </w:hyperlink>
            <w:hyperlink r:id="rId64">
              <w:r>
                <w:rPr>
                  <w:rStyle w:val="InternetLink"/>
                  <w:rFonts w:ascii="Times New Roman;sans-serif" w:hAnsi="Times New Roman;sans-serif"/>
                  <w:b w:val="false"/>
                  <w:color w:val="000080"/>
                  <w:sz w:val="20"/>
                  <w:u w:val="single"/>
                </w:rPr>
                <w:t>.</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fexhibit121xceocert.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fexhibit122-cfocert.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31-ceocert.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fexhibit132-cfocert.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fexhibit151-consent.htm">
              <w:r>
                <w:rPr>
                  <w:rStyle w:val="InternetLink"/>
                  <w:rFonts w:ascii="Times New Roman;sans-serif" w:hAnsi="Times New Roman;sans-serif"/>
                  <w:b w:val="false"/>
                  <w:color w:val="0000FF"/>
                  <w:sz w:val="20"/>
                  <w:u w:val="single"/>
                </w:rPr>
                <w:t>Consent of Ernst &amp; Young LLP</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f-exhibit152xconsent.htm">
              <w:r>
                <w:rPr>
                  <w:rStyle w:val="InternetLink"/>
                  <w:rFonts w:ascii="Times New Roman;sans-serif" w:hAnsi="Times New Roman;sans-serif"/>
                  <w:b w:val="false"/>
                  <w:color w:val="000080"/>
                  <w:sz w:val="20"/>
                  <w:u w:val="single"/>
                </w:rPr>
                <w:t xml:space="preserve">Consent of </w:t>
              </w:r>
            </w:hyperlink>
            <w:hyperlink w:anchor="a20f-exhibit152xconsent.htm">
              <w:r>
                <w:rPr>
                  <w:rStyle w:val="InternetLink"/>
                  <w:rFonts w:ascii="Times New Roman;sans-serif" w:hAnsi="Times New Roman;sans-serif"/>
                  <w:b w:val="false"/>
                  <w:color w:val="000080"/>
                  <w:sz w:val="20"/>
                  <w:u w:val="single"/>
                </w:rPr>
                <w:t>Pistrelli, Henry Martin y Asociados S.R.L.</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1-clawbackpolicy.htm">
              <w:r>
                <w:rPr>
                  <w:rStyle w:val="InternetLink"/>
                  <w:rFonts w:ascii="Times New Roman;sans-serif" w:hAnsi="Times New Roman;sans-serif"/>
                  <w:b w:val="false"/>
                  <w:color w:val="000080"/>
                  <w:sz w:val="20"/>
                  <w:u w:val="single"/>
                </w:rPr>
                <w:t>Satellogic In</w:t>
              </w:r>
            </w:hyperlink>
            <w:hyperlink w:anchor="exhibit971-clawbackpolicy.htm">
              <w:r>
                <w:rPr>
                  <w:rStyle w:val="InternetLink"/>
                  <w:rFonts w:ascii="Times New Roman;sans-serif" w:hAnsi="Times New Roman;sans-serif"/>
                  <w:b w:val="false"/>
                  <w:color w:val="000080"/>
                  <w:sz w:val="20"/>
                  <w:u w:val="single"/>
                </w:rPr>
                <w:t>c. Cl</w:t>
              </w:r>
            </w:hyperlink>
            <w:hyperlink w:anchor="exhibit971-clawbackpolicy.htm">
              <w:r>
                <w:rPr>
                  <w:rStyle w:val="InternetLink"/>
                  <w:rFonts w:ascii="Times New Roman;sans-serif" w:hAnsi="Times New Roman;sans-serif"/>
                  <w:b w:val="false"/>
                  <w:color w:val="000080"/>
                  <w:sz w:val="20"/>
                  <w:u w:val="single"/>
                </w:rPr>
                <w:t>awback Policy</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80"/>
                  <w:sz w:val="20"/>
                  <w:u w:val="single"/>
                </w:rPr>
                <w:t>Description of Securities</w:t>
              </w:r>
            </w:hyperlink>
            <w:hyperlink r:id="rId66">
              <w:r>
                <w:rPr>
                  <w:rStyle w:val="InternetLink"/>
                  <w:rFonts w:ascii="Times New Roman;sans-serif" w:hAnsi="Times New Roman;sans-serif"/>
                  <w:b w:val="false"/>
                  <w:color w:val="000080"/>
                  <w:sz w:val="20"/>
                  <w:u w:val="single"/>
                </w:rPr>
                <w:t xml:space="preserve"> </w:t>
              </w:r>
            </w:hyperlink>
            <w:hyperlink r:id="rId67">
              <w:r>
                <w:rPr>
                  <w:rStyle w:val="InternetLink"/>
                  <w:rFonts w:ascii="Times New Roman;sans-serif" w:hAnsi="Times New Roman;sans-serif"/>
                  <w:b w:val="false"/>
                  <w:color w:val="000080"/>
                  <w:sz w:val="20"/>
                  <w:u w:val="single"/>
                </w:rPr>
                <w:t xml:space="preserve">(incorporated by reference to Exhibit </w:t>
              </w:r>
            </w:hyperlink>
            <w:hyperlink r:id="rId68">
              <w:r>
                <w:rPr>
                  <w:rStyle w:val="InternetLink"/>
                  <w:rFonts w:ascii="Times New Roman;sans-serif" w:hAnsi="Times New Roman;sans-serif"/>
                  <w:b w:val="false"/>
                  <w:color w:val="000080"/>
                  <w:sz w:val="20"/>
                  <w:u w:val="single"/>
                </w:rPr>
                <w:t>99.1</w:t>
              </w:r>
            </w:hyperlink>
            <w:hyperlink r:id="rId69">
              <w:r>
                <w:rPr>
                  <w:rStyle w:val="InternetLink"/>
                  <w:rFonts w:ascii="Times New Roman;sans-serif" w:hAnsi="Times New Roman;sans-serif"/>
                  <w:b w:val="false"/>
                  <w:color w:val="000080"/>
                  <w:sz w:val="20"/>
                  <w:u w:val="single"/>
                </w:rPr>
                <w:t xml:space="preserve"> on Form 20-F filed on </w:t>
              </w:r>
            </w:hyperlink>
            <w:hyperlink r:id="rId70">
              <w:r>
                <w:rPr>
                  <w:rStyle w:val="InternetLink"/>
                  <w:rFonts w:ascii="Times New Roman;sans-serif" w:hAnsi="Times New Roman;sans-serif"/>
                  <w:b w:val="false"/>
                  <w:color w:val="000080"/>
                  <w:sz w:val="20"/>
                  <w:u w:val="single"/>
                </w:rPr>
                <w:t>April</w:t>
              </w:r>
            </w:hyperlink>
            <w:hyperlink r:id="rId71">
              <w:r>
                <w:rPr>
                  <w:rStyle w:val="InternetLink"/>
                  <w:rFonts w:ascii="Times New Roman;sans-serif" w:hAnsi="Times New Roman;sans-serif"/>
                  <w:b w:val="false"/>
                  <w:color w:val="000080"/>
                  <w:sz w:val="20"/>
                  <w:u w:val="single"/>
                </w:rPr>
                <w:t xml:space="preserve"> 27, 202</w:t>
              </w:r>
            </w:hyperlink>
            <w:hyperlink r:id="rId72">
              <w:r>
                <w:rPr>
                  <w:rStyle w:val="InternetLink"/>
                  <w:rFonts w:ascii="Times New Roman;sans-serif" w:hAnsi="Times New Roman;sans-serif"/>
                  <w:b w:val="false"/>
                  <w:color w:val="000080"/>
                  <w:sz w:val="20"/>
                  <w:u w:val="single"/>
                </w:rPr>
                <w:t>3</w:t>
              </w:r>
            </w:hyperlink>
            <w:hyperlink r:id="rId73">
              <w:r>
                <w:rPr>
                  <w:rStyle w:val="InternetLink"/>
                  <w:rFonts w:ascii="Times New Roman;sans-serif" w:hAnsi="Times New Roman;sans-serif"/>
                  <w:b w:val="false"/>
                  <w:color w:val="000080"/>
                  <w:sz w:val="20"/>
                  <w:u w:val="single"/>
                </w:rPr>
                <w:t xml:space="preserve"> </w:t>
              </w:r>
            </w:hyperlink>
            <w:hyperlink r:id="rId74">
              <w:r>
                <w:rPr>
                  <w:rStyle w:val="InternetLink"/>
                  <w:rFonts w:ascii="Times New Roman;sans-serif" w:hAnsi="Times New Roman;sans-serif"/>
                  <w:b w:val="false"/>
                  <w:color w:val="000080"/>
                  <w:sz w:val="20"/>
                  <w:u w:val="single"/>
                </w:rPr>
                <w:t>(file no. 001-41247)</w:t>
              </w:r>
            </w:hyperlink>
            <w:hyperlink r:id="rId75">
              <w:r>
                <w:rPr>
                  <w:rStyle w:val="InternetLink"/>
                  <w:rFonts w:ascii="Times New Roman;sans-serif" w:hAnsi="Times New Roman;sans-serif"/>
                  <w:b w:val="false"/>
                  <w:color w:val="000080"/>
                  <w:sz w:val="20"/>
                  <w:u w:val="single"/>
                </w:rPr>
                <w:t xml:space="preserve">). </w:t>
              </w:r>
            </w:hyperlink>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807"/>
        <w:gridCol w:w="2807"/>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filed.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schedules, annexes and exhibits have been omitted pursuant to Item 601(b)(2) of Regulation S-K, but will be furnished supplementally to the SEC upon request.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confidential portions of this exhibit were omitted by means of marking such portions with brackets and asterisks because the identified confidential portions (i) are not material and (ii) would be competitively harmful if publicly disclosed, or constituted personally identifiable information that is not material.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 hereby certifies that it meets all of the requirements for filing on Form 20-F and that it has duly caused and authorized the undersigned to sign this Report on its behalf.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April 15, 2024 </w:t>
      </w:r>
    </w:p>
    <w:tbl>
      <w:tblPr>
        <w:tblW w:w="3171" w:type="dxa"/>
        <w:jc w:val="left"/>
        <w:tblInd w:w="0" w:type="dxa"/>
        <w:tblLayout w:type="fixed"/>
        <w:tblCellMar>
          <w:top w:w="28" w:type="dxa"/>
          <w:left w:w="28" w:type="dxa"/>
          <w:bottom w:w="28" w:type="dxa"/>
          <w:right w:w="28" w:type="dxa"/>
        </w:tblCellMar>
      </w:tblPr>
      <w:tblGrid>
        <w:gridCol w:w="124"/>
        <w:gridCol w:w="109"/>
        <w:gridCol w:w="109"/>
        <w:gridCol w:w="273"/>
        <w:gridCol w:w="273"/>
        <w:gridCol w:w="273"/>
        <w:gridCol w:w="587"/>
        <w:gridCol w:w="587"/>
        <w:gridCol w:w="8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SATELLOGIC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Rick Dunn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Rick Dunn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aaaca00e571c4218bebd1a008f6effc5_7">
        <w:r>
          <w:rPr>
            <w:rStyle w:val="InternetLink"/>
            <w:rFonts w:ascii="Times New Roman;sans-serif" w:hAnsi="Times New Roman;sans-serif"/>
            <w:b/>
            <w:color w:val="0000FF"/>
            <w:sz w:val="20"/>
            <w:u w:val="single"/>
          </w:rPr>
          <w:t>Table of Contents</w:t>
        </w:r>
      </w:hyperlink>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8.1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List of Subsidiaries as of December 31, 2023</w:t>
      </w:r>
    </w:p>
    <w:p>
      <w:pPr>
        <w:pStyle w:val="TextBody"/>
        <w:bidi w:val="0"/>
        <w:spacing w:before="0" w:after="0"/>
        <w:jc w:val="center"/>
        <w:rPr/>
      </w:pPr>
      <w:r>
        <w:rPr/>
      </w:r>
    </w:p>
    <w:tbl>
      <w:tblPr>
        <w:tblW w:w="4991" w:type="dxa"/>
        <w:jc w:val="center"/>
        <w:tblInd w:w="0" w:type="dxa"/>
        <w:tblLayout w:type="fixed"/>
        <w:tblCellMar>
          <w:top w:w="28" w:type="dxa"/>
          <w:left w:w="28" w:type="dxa"/>
          <w:bottom w:w="28" w:type="dxa"/>
          <w:right w:w="28" w:type="dxa"/>
        </w:tblCellMar>
      </w:tblPr>
      <w:tblGrid>
        <w:gridCol w:w="858"/>
        <w:gridCol w:w="751"/>
        <w:gridCol w:w="761"/>
        <w:gridCol w:w="109"/>
        <w:gridCol w:w="109"/>
        <w:gridCol w:w="109"/>
        <w:gridCol w:w="671"/>
        <w:gridCol w:w="671"/>
        <w:gridCol w:w="952"/>
      </w:tblGrid>
      <w:tr>
        <w:trPr/>
        <w:tc>
          <w:tcPr>
            <w:tcW w:w="85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Country of incorporation</w:t>
            </w:r>
          </w:p>
        </w:tc>
      </w:tr>
      <w:tr>
        <w:trPr/>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Urugus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Uruguay</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Nettar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B.V.I</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Nettar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Uruguay</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Telluric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Israel</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Satellogic V.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Satellogic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Satellogic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Argentina</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Satellogic Solutions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Satellogic China,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Satellogic Federal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Satellogic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12.1</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302 of the Sarbanes-Oxley Act of 2002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 Emiliano Kargieman, certify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20-F of Satellogic Inc.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company’s other certifying officer(s) and I are responsible for establishing and maintaining disclosure controls and procedures (as defined in Exchange Act Rules 13a- 15(e) and 15d-15(e)) for the company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[intentionally omitted];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company’s internal control over financial reporting.</w:t>
      </w:r>
    </w:p>
    <w:tbl>
      <w:tblPr>
        <w:tblW w:w="4797" w:type="dxa"/>
        <w:jc w:val="left"/>
        <w:tblInd w:w="0" w:type="dxa"/>
        <w:tblLayout w:type="fixed"/>
        <w:tblCellMar>
          <w:top w:w="28" w:type="dxa"/>
          <w:left w:w="28" w:type="dxa"/>
          <w:bottom w:w="28" w:type="dxa"/>
          <w:right w:w="28" w:type="dxa"/>
        </w:tblCellMar>
      </w:tblPr>
      <w:tblGrid>
        <w:gridCol w:w="645"/>
        <w:gridCol w:w="568"/>
        <w:gridCol w:w="571"/>
        <w:gridCol w:w="314"/>
        <w:gridCol w:w="314"/>
        <w:gridCol w:w="316"/>
        <w:gridCol w:w="605"/>
        <w:gridCol w:w="605"/>
        <w:gridCol w:w="85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15, 2024</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Emiliano Kargieman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Emiliano Kargieman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240" w:after="283"/>
        <w:ind w:left="0" w:right="0" w:firstLine="4320"/>
        <w:jc w:val="left"/>
        <w:rPr/>
      </w:pPr>
      <w:r>
        <w:rPr/>
      </w:r>
    </w:p>
    <w:p>
      <w:pPr>
        <w:pStyle w:val="TextBody"/>
        <w:bidi w:val="0"/>
        <w:spacing w:before="240" w:after="283"/>
        <w:ind w:left="0" w:right="0" w:firstLine="4320"/>
        <w:jc w:val="right"/>
        <w:rPr/>
      </w:pPr>
      <w:r>
        <w:rPr/>
      </w:r>
    </w:p>
    <w:p>
      <w:pPr>
        <w:pStyle w:val="TextBody"/>
        <w:bidi w:val="0"/>
        <w:spacing w:before="0" w:after="0"/>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12.2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302 of the Sarbanes-Oxley Act of 2002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 Rick Dunn, certify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20-F of Satellogic Inc.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company’s other certifying officer(s) and I are responsible for establishing and maintaining disclosure controls and procedures (as defined in Exchange Act Rules 13a-15(e) and 15d-15(e)) for the company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(b)[intentionally omitted];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company’s internal control over financial reporting.</w:t>
      </w:r>
    </w:p>
    <w:tbl>
      <w:tblPr>
        <w:tblW w:w="4737" w:type="dxa"/>
        <w:jc w:val="left"/>
        <w:tblInd w:w="0" w:type="dxa"/>
        <w:tblLayout w:type="fixed"/>
        <w:tblCellMar>
          <w:top w:w="28" w:type="dxa"/>
          <w:left w:w="28" w:type="dxa"/>
          <w:bottom w:w="28" w:type="dxa"/>
          <w:right w:w="28" w:type="dxa"/>
        </w:tblCellMar>
      </w:tblPr>
      <w:tblGrid>
        <w:gridCol w:w="645"/>
        <w:gridCol w:w="568"/>
        <w:gridCol w:w="571"/>
        <w:gridCol w:w="314"/>
        <w:gridCol w:w="314"/>
        <w:gridCol w:w="316"/>
        <w:gridCol w:w="588"/>
        <w:gridCol w:w="588"/>
        <w:gridCol w:w="833"/>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15, 2024</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Rick Dunn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Rick Dunn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ind w:left="0" w:right="0" w:firstLine="540"/>
        <w:jc w:val="right"/>
        <w:rPr/>
      </w:pPr>
      <w:r>
        <w:rPr/>
      </w:r>
    </w:p>
    <w:p>
      <w:pPr>
        <w:pStyle w:val="TextBody"/>
        <w:bidi w:val="0"/>
        <w:spacing w:before="0" w:after="0"/>
        <w:ind w:left="0" w:right="0" w:firstLine="540"/>
        <w:jc w:val="right"/>
        <w:rPr/>
      </w:pPr>
      <w:r>
        <w:rPr/>
      </w:r>
    </w:p>
    <w:p>
      <w:pPr>
        <w:pStyle w:val="TextBody"/>
        <w:bidi w:val="0"/>
        <w:spacing w:before="0" w:after="0"/>
        <w:ind w:left="0" w:right="0" w:firstLine="540"/>
        <w:jc w:val="right"/>
        <w:rPr/>
      </w:pPr>
      <w:r>
        <w:rPr/>
      </w:r>
    </w:p>
    <w:p>
      <w:pPr>
        <w:pStyle w:val="TextBody"/>
        <w:bidi w:val="0"/>
        <w:spacing w:before="0" w:after="0"/>
        <w:ind w:left="0" w:right="0" w:firstLine="540"/>
        <w:jc w:val="right"/>
        <w:rPr/>
      </w:pPr>
      <w:r>
        <w:rPr/>
      </w:r>
    </w:p>
    <w:p>
      <w:pPr>
        <w:pStyle w:val="TextBody"/>
        <w:bidi w:val="0"/>
        <w:spacing w:before="0" w:after="0"/>
        <w:ind w:left="0" w:right="0" w:firstLine="540"/>
        <w:jc w:val="right"/>
        <w:rPr/>
      </w:pPr>
      <w:r>
        <w:rPr/>
      </w:r>
    </w:p>
    <w:p>
      <w:pPr>
        <w:pStyle w:val="TextBody"/>
        <w:bidi w:val="0"/>
        <w:spacing w:before="0" w:after="0"/>
        <w:ind w:left="0" w:right="0" w:firstLine="540"/>
        <w:jc w:val="right"/>
        <w:rPr/>
      </w:pPr>
      <w:r>
        <w:rPr/>
      </w:r>
    </w:p>
    <w:p>
      <w:pPr>
        <w:pStyle w:val="TextBody"/>
        <w:bidi w:val="0"/>
        <w:ind w:left="0" w:right="0" w:firstLine="54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540"/>
        <w:jc w:val="right"/>
        <w:rPr/>
      </w:pPr>
      <w:r>
        <w:rPr/>
      </w:r>
    </w:p>
    <w:p>
      <w:pPr>
        <w:pStyle w:val="TextBody"/>
        <w:bidi w:val="0"/>
        <w:ind w:left="0" w:right="0" w:firstLine="54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54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13.1</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 S.C. Section 1350 as Adopted Pursuant to Section 906 of the Sarbanes-Oxley Act of 2002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I, Emiliano Kargieman, the Chief Executive Officer of Satellogic Inc. (the “Registrant”), hereby certify, that, to my knowledge: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20-F for the year ended December 31, 2023 (the “Report”) of the Registrant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4797" w:type="dxa"/>
        <w:jc w:val="left"/>
        <w:tblInd w:w="0" w:type="dxa"/>
        <w:tblLayout w:type="fixed"/>
        <w:tblCellMar>
          <w:top w:w="28" w:type="dxa"/>
          <w:left w:w="28" w:type="dxa"/>
          <w:bottom w:w="28" w:type="dxa"/>
          <w:right w:w="28" w:type="dxa"/>
        </w:tblCellMar>
      </w:tblPr>
      <w:tblGrid>
        <w:gridCol w:w="645"/>
        <w:gridCol w:w="568"/>
        <w:gridCol w:w="571"/>
        <w:gridCol w:w="314"/>
        <w:gridCol w:w="314"/>
        <w:gridCol w:w="316"/>
        <w:gridCol w:w="605"/>
        <w:gridCol w:w="605"/>
        <w:gridCol w:w="85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15, 2024</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Emiliano Kargieman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Emiliano Kargieman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Report pursuant to § 906 of the Sarbanes-Oxley Act of 2002 and shall not, except to the extent required by the Sarbanes-Oxley Act of 2002, be deemed filed by the Registrant for purposes of § 18 of the Securities Exchange Act of 1934, as amended.</w:t>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ind w:left="0" w:right="0" w:firstLine="144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440"/>
        <w:jc w:val="right"/>
        <w:rPr/>
      </w:pPr>
      <w:r>
        <w:rPr/>
      </w:r>
    </w:p>
    <w:p>
      <w:pPr>
        <w:pStyle w:val="TextBody"/>
        <w:bidi w:val="0"/>
        <w:ind w:left="0" w:right="0" w:firstLine="144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13.2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18 U. S.C. Section 1350 as Adopted Pursuant to Section 906 of the Sarbanes-Oxley Act of 2002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I, Rick Dunn, Chief Financial Officer of Satellogic Inc. (the “Registrant”), hereby certify, that, to my knowledge: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20-F for the year ended December 31, 2023 (the “Report”) of the Registrant fully complies with the requirements of section 13(a) or 15(d) of the Securities Exchange Act of 1934; and</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4002" w:type="dxa"/>
        <w:jc w:val="left"/>
        <w:tblInd w:w="0" w:type="dxa"/>
        <w:tblLayout w:type="fixed"/>
        <w:tblCellMar>
          <w:top w:w="28" w:type="dxa"/>
          <w:left w:w="28" w:type="dxa"/>
          <w:bottom w:w="28" w:type="dxa"/>
          <w:right w:w="28" w:type="dxa"/>
        </w:tblCellMar>
      </w:tblPr>
      <w:tblGrid>
        <w:gridCol w:w="645"/>
        <w:gridCol w:w="568"/>
        <w:gridCol w:w="571"/>
        <w:gridCol w:w="314"/>
        <w:gridCol w:w="314"/>
        <w:gridCol w:w="316"/>
        <w:gridCol w:w="373"/>
        <w:gridCol w:w="373"/>
        <w:gridCol w:w="52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15, 2024</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Rick Dunn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Rick Dunn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Report pursuant to § 906 of the Sarbanes-Oxley Act of 2002 and shall not, except to the extent required by the Sarbanes-Oxley Act of 2002, be deemed filed by the Registrant for purposes of § 18 of the Securities Exchange Act of 1934, as amended.</w:t>
      </w:r>
    </w:p>
    <w:p>
      <w:pPr>
        <w:pStyle w:val="TextBody"/>
        <w:bidi w:val="0"/>
        <w:spacing w:before="0" w:after="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ind w:left="0" w:right="0" w:firstLine="14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spacing w:before="0" w:after="0"/>
        <w:ind w:left="0" w:right="0" w:firstLine="1440"/>
        <w:jc w:val="right"/>
        <w:rPr/>
      </w:pPr>
      <w:r>
        <w:rPr/>
      </w:r>
    </w:p>
    <w:p>
      <w:pPr>
        <w:pStyle w:val="TextBody"/>
        <w:bidi w:val="0"/>
        <w:ind w:left="0" w:right="0" w:firstLine="144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Exhibit 15.1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Registration Statement (Form S-8 No. 333-266733) pertaining to the Satellogic Inc. 2021 Incentive Compensation Plan;</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Registration Statement (Form S-8 No. 333-269552) pertaining to the Satellogic Inc. 2021 Incentive Compensation Plan; and </w:t>
      </w:r>
    </w:p>
    <w:p>
      <w:pPr>
        <w:pStyle w:val="TextBody"/>
        <w:bidi w:val="0"/>
        <w:spacing w:lineRule="auto" w:line="288" w:before="240" w:after="283"/>
        <w:ind w:left="0" w:right="0" w:hanging="360"/>
        <w:jc w:val="both"/>
        <w:rPr/>
      </w:pPr>
      <w:r>
        <w:rPr>
          <w:rFonts w:ascii="Times New Roman;sans-serif" w:hAnsi="Times New Roman;sans-serif"/>
          <w:b w:val="false"/>
          <w:color w:val="000000"/>
          <w:sz w:val="20"/>
        </w:rPr>
        <w:t>(3)</w:t>
      </w:r>
      <w:r>
        <w:rPr>
          <w:color w:val="000000"/>
        </w:rPr>
        <w:t>    </w:t>
      </w:r>
      <w:r>
        <w:rPr>
          <w:rFonts w:ascii="Times New Roman;sans-serif" w:hAnsi="Times New Roman;sans-serif"/>
          <w:b w:val="false"/>
          <w:color w:val="000000"/>
          <w:sz w:val="20"/>
        </w:rPr>
        <w:t>Post Effective Amendment No. 1 to Form F-1 on Form F-3 Registration Statement (POS AM No. 333-262699) pertaining to the Satellogic Inc. 2023 Prospectus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our report dated April 15, 2024, with respect to the consolidated financial statements of Satellogic Inc. included in this Annual Report (Form 20-F) of Satellogic Inc. for the year ended 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15, 2024</w:t>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ind w:left="0" w:right="0" w:firstLine="14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240" w:after="283"/>
        <w:ind w:left="0" w:right="0" w:firstLine="144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right"/>
        <w:rPr>
          <w:rFonts w:ascii="Times New Roman;sans-serif" w:hAnsi="Times New Roman;sans-serif"/>
          <w:b w:val="false"/>
          <w:color w:val="000000"/>
          <w:sz w:val="20"/>
        </w:rPr>
      </w:pPr>
      <w:r>
        <w:rPr>
          <w:rFonts w:ascii="Times New Roman;sans-serif" w:hAnsi="Times New Roman;sans-serif"/>
          <w:b w:val="false"/>
          <w:color w:val="000000"/>
          <w:sz w:val="20"/>
        </w:rPr>
        <w:t>Exhibit 15.2</w:t>
      </w:r>
    </w:p>
    <w:p>
      <w:pPr>
        <w:pStyle w:val="TextBody"/>
        <w:bidi w:val="0"/>
        <w:spacing w:before="0" w:after="0"/>
        <w:ind w:left="0" w:right="0" w:firstLine="144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Registration Statement (Form S-8 No. 333-266733) pertaining to the Satellogic Inc. 2021 Incentive Compensation Plan;</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Registration Statement (Form S-8 No. 333-269552) pertaining to the Satellogic Inc. 2021 Incentive Compensation Plan; and </w:t>
      </w:r>
    </w:p>
    <w:p>
      <w:pPr>
        <w:pStyle w:val="TextBody"/>
        <w:bidi w:val="0"/>
        <w:spacing w:lineRule="auto" w:line="288" w:before="240" w:after="283"/>
        <w:ind w:left="0" w:right="0" w:hanging="360"/>
        <w:jc w:val="both"/>
        <w:rPr/>
      </w:pPr>
      <w:r>
        <w:rPr>
          <w:rFonts w:ascii="Times New Roman;sans-serif" w:hAnsi="Times New Roman;sans-serif"/>
          <w:b w:val="false"/>
          <w:color w:val="000000"/>
          <w:sz w:val="20"/>
        </w:rPr>
        <w:t>(3)</w:t>
      </w:r>
      <w:r>
        <w:rPr>
          <w:color w:val="000000"/>
        </w:rPr>
        <w:t>    </w:t>
      </w:r>
      <w:r>
        <w:rPr>
          <w:rFonts w:ascii="Times New Roman;sans-serif" w:hAnsi="Times New Roman;sans-serif"/>
          <w:b w:val="false"/>
          <w:color w:val="000000"/>
          <w:sz w:val="20"/>
        </w:rPr>
        <w:t>Post Effective Amendment No. 1 to Form F-1 on Form F-3 Registration Statement (POS AM No. 333-262699) pertaining to the Satellogic Inc. 2023 Prospectus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our report dated April 27, 2023, with respect to the consolidated financial statements of Satellogic Inc. included in this Annual Report (Form 20-F) of Satellogic Inc. for the year ended December 31, 2023.</w:t>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Pistrelli, Henry Martin y Asociados S.R.L.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PISTRELLI, HENRY MARTIN Y ASOCIADOS S.R.L.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Member of Ernst &amp; Young Global Limited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Buenos Aires, Argentina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April 15, 2024</w:t>
      </w:r>
    </w:p>
    <w:p>
      <w:pPr>
        <w:pStyle w:val="TextBody"/>
        <w:bidi w:val="0"/>
        <w:spacing w:before="0" w:after="0"/>
        <w:ind w:left="0" w:right="0" w:firstLine="54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240" w:after="283"/>
        <w:ind w:left="0" w:right="0" w:firstLine="144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97.1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SATELLOGIC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CLAWBACK POLICY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on July 24, 2023) </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1. Purpose.</w:t>
      </w:r>
      <w:r>
        <w:rPr>
          <w:color w:val="000000"/>
        </w:rPr>
        <w:t xml:space="preserve"> </w:t>
      </w:r>
      <w:r>
        <w:rPr>
          <w:rFonts w:ascii="Times New Roman;sans-serif" w:hAnsi="Times New Roman;sans-serif"/>
          <w:b w:val="false"/>
          <w:color w:val="000000"/>
          <w:sz w:val="20"/>
        </w:rPr>
        <w:t>The purpose of this Policy is to describe the circumstances in which Executive Officers will be required to repay or return Erroneously Awarded Compensation to members of the Company Group. This Policy is designed to comply with, and will be interpreted in a manner that is consistent with, Section 954 of the Dodd-Frank Wall Street Reform and Consumer Protection Act of 2010, Section 10D of the Securities Exchange Act of 1934 and the listing standards of the Exchange.</w:t>
      </w:r>
    </w:p>
    <w:p>
      <w:pPr>
        <w:pStyle w:val="TextBody"/>
        <w:bidi w:val="0"/>
        <w:spacing w:lineRule="auto" w:line="288" w:before="0" w:after="0"/>
        <w:ind w:left="0" w:right="0" w:firstLine="720"/>
        <w:jc w:val="both"/>
        <w:rPr/>
      </w:pPr>
      <w:r>
        <w:rPr>
          <w:rFonts w:ascii="Times New Roman;sans-serif" w:hAnsi="Times New Roman;sans-serif"/>
          <w:b/>
          <w:color w:val="000000"/>
          <w:sz w:val="20"/>
        </w:rPr>
        <w:t>2. Administration.</w:t>
      </w:r>
      <w:r>
        <w:rPr>
          <w:color w:val="000000"/>
        </w:rPr>
        <w:t xml:space="preserve"> </w:t>
      </w:r>
      <w:r>
        <w:rPr>
          <w:rFonts w:ascii="Times New Roman;sans-serif" w:hAnsi="Times New Roman;sans-serif"/>
          <w:b w:val="false"/>
          <w:color w:val="000000"/>
          <w:sz w:val="20"/>
        </w:rPr>
        <w:t xml:space="preserve">This Policy shall be administered by the Committee. Any determinations made by the Committee shall be final and binding on all affected individuals.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3. Definitions.</w:t>
      </w:r>
      <w:r>
        <w:rPr>
          <w:color w:val="000000"/>
        </w:rPr>
        <w:t xml:space="preserve"> </w:t>
      </w:r>
      <w:r>
        <w:rPr>
          <w:rFonts w:ascii="Times New Roman;sans-serif" w:hAnsi="Times New Roman;sans-serif"/>
          <w:b w:val="false"/>
          <w:color w:val="000000"/>
          <w:sz w:val="20"/>
        </w:rPr>
        <w:t xml:space="preserve">For purposes of this Policy, the following capitalized terms shall have the meanings set forth below.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(a) “Accounting Restatement”</w:t>
      </w:r>
      <w:r>
        <w:rPr>
          <w:color w:val="000000"/>
        </w:rPr>
        <w:t xml:space="preserve"> </w:t>
      </w:r>
      <w:r>
        <w:rPr>
          <w:rFonts w:ascii="Times New Roman;sans-serif" w:hAnsi="Times New Roman;sans-serif"/>
          <w:b w:val="false"/>
          <w:color w:val="000000"/>
          <w:sz w:val="20"/>
        </w:rPr>
        <w:t xml:space="preserve">shall mean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or (ii) that corrects an error that is not material to previously issued financial statements, but would result in a material misstatement if the error were corrected in the current period or left uncorrected in the current period.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(b) “Board”</w:t>
      </w:r>
      <w:r>
        <w:rPr>
          <w:color w:val="000000"/>
        </w:rPr>
        <w:t xml:space="preserve"> </w:t>
      </w:r>
      <w:r>
        <w:rPr>
          <w:rFonts w:ascii="Times New Roman;sans-serif" w:hAnsi="Times New Roman;sans-serif"/>
          <w:b w:val="false"/>
          <w:color w:val="000000"/>
          <w:sz w:val="20"/>
        </w:rPr>
        <w:t>shall mean the Board of Directors of the Company.</w:t>
      </w:r>
    </w:p>
    <w:p>
      <w:pPr>
        <w:pStyle w:val="TextBody"/>
        <w:bidi w:val="0"/>
        <w:spacing w:lineRule="auto" w:line="288" w:before="0" w:after="0"/>
        <w:ind w:left="0" w:right="0" w:firstLine="720"/>
        <w:jc w:val="both"/>
        <w:rPr/>
      </w:pPr>
      <w:r>
        <w:rPr>
          <w:rFonts w:ascii="Times New Roman;sans-serif" w:hAnsi="Times New Roman;sans-serif"/>
          <w:b/>
          <w:color w:val="000000"/>
          <w:sz w:val="20"/>
        </w:rPr>
        <w:t>(c) “Clawback Eligible Incentive Compensation”</w:t>
      </w:r>
      <w:r>
        <w:rPr>
          <w:color w:val="000000"/>
        </w:rPr>
        <w:t xml:space="preserve"> </w:t>
      </w:r>
      <w:r>
        <w:rPr>
          <w:rFonts w:ascii="Times New Roman;sans-serif" w:hAnsi="Times New Roman;sans-serif"/>
          <w:b w:val="false"/>
          <w:color w:val="000000"/>
          <w:sz w:val="20"/>
        </w:rPr>
        <w:t xml:space="preserve">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(ii) after beginning service as an Executive Officer, (iii) who served as an Executive Officer at any time during the performance period for the Incentive-based Compensation, (iv) while the Company has a class of securities listed on a national securities exchange or a national securities association and (v) during the applicable Clawback Period.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(d) “Clawback Period”</w:t>
      </w:r>
      <w:r>
        <w:rPr>
          <w:color w:val="000000"/>
        </w:rPr>
        <w:t xml:space="preserve"> </w:t>
      </w:r>
      <w:r>
        <w:rPr>
          <w:rFonts w:ascii="Times New Roman;sans-serif" w:hAnsi="Times New Roman;sans-serif"/>
          <w:b w:val="false"/>
          <w:color w:val="000000"/>
          <w:sz w:val="20"/>
        </w:rPr>
        <w:t xml:space="preserve">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 xml:space="preserve">(e) “Committee” </w:t>
      </w:r>
      <w:r>
        <w:rPr>
          <w:rFonts w:ascii="Times New Roman;sans-serif" w:hAnsi="Times New Roman;sans-serif"/>
          <w:b w:val="false"/>
          <w:color w:val="000000"/>
          <w:sz w:val="20"/>
        </w:rPr>
        <w:t>shall mean the Compensation Committee of the Board.</w:t>
      </w:r>
    </w:p>
    <w:p>
      <w:pPr>
        <w:pStyle w:val="TextBody"/>
        <w:bidi w:val="0"/>
        <w:spacing w:lineRule="auto" w:line="288" w:before="0" w:after="0"/>
        <w:ind w:left="0" w:right="0" w:firstLine="720"/>
        <w:jc w:val="both"/>
        <w:rPr/>
      </w:pPr>
      <w:r>
        <w:rPr>
          <w:rFonts w:ascii="Times New Roman;sans-serif" w:hAnsi="Times New Roman;sans-serif"/>
          <w:b/>
          <w:color w:val="000000"/>
          <w:sz w:val="20"/>
        </w:rPr>
        <w:t>(f) “Company”</w:t>
      </w:r>
      <w:r>
        <w:rPr>
          <w:color w:val="000000"/>
        </w:rPr>
        <w:t xml:space="preserve"> </w:t>
      </w:r>
      <w:r>
        <w:rPr>
          <w:rFonts w:ascii="Times New Roman;sans-serif" w:hAnsi="Times New Roman;sans-serif"/>
          <w:b w:val="false"/>
          <w:color w:val="000000"/>
          <w:sz w:val="20"/>
        </w:rPr>
        <w:t xml:space="preserve">shall mean Satellogic Inc., a business company with limited liability incorporated under the laws of the British Virgin Islands.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(g) “Company Group”</w:t>
      </w:r>
      <w:r>
        <w:rPr>
          <w:color w:val="000000"/>
        </w:rPr>
        <w:t xml:space="preserve"> </w:t>
      </w:r>
      <w:r>
        <w:rPr>
          <w:rFonts w:ascii="Times New Roman;sans-serif" w:hAnsi="Times New Roman;sans-serif"/>
          <w:b w:val="false"/>
          <w:color w:val="000000"/>
          <w:sz w:val="20"/>
        </w:rPr>
        <w:t xml:space="preserve">shall mean the Company, together with each of its direct and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indirect subsidiaries.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 xml:space="preserve">(h) “Exchange” </w:t>
      </w:r>
      <w:r>
        <w:rPr>
          <w:rFonts w:ascii="Times New Roman;sans-serif" w:hAnsi="Times New Roman;sans-serif"/>
          <w:b w:val="false"/>
          <w:color w:val="000000"/>
          <w:sz w:val="20"/>
        </w:rPr>
        <w:t xml:space="preserve">shall mean The Nasdaq Capital Market or any other national securities exchange on which the Company’s securities are listed.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ans-serif" w:hAnsi="Times New Roman;sans-serif"/>
          <w:b/>
          <w:color w:val="000000"/>
          <w:sz w:val="20"/>
        </w:rPr>
        <w:t>(i) “Effective Date”</w:t>
      </w:r>
      <w:r>
        <w:rPr>
          <w:color w:val="000000"/>
        </w:rPr>
        <w:t xml:space="preserve"> </w:t>
      </w:r>
      <w:r>
        <w:rPr>
          <w:rFonts w:ascii="Times New Roman;sans-serif" w:hAnsi="Times New Roman;sans-serif"/>
          <w:b w:val="false"/>
          <w:color w:val="000000"/>
          <w:sz w:val="20"/>
        </w:rPr>
        <w:t xml:space="preserve">shall mean the date of adoption set forth above.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 xml:space="preserve">(j) “Erroneously Awarded Compensation” </w:t>
      </w:r>
      <w:r>
        <w:rPr>
          <w:rFonts w:ascii="Times New Roman;sans-serif" w:hAnsi="Times New Roman;sans-serif"/>
          <w:b w:val="false"/>
          <w:color w:val="000000"/>
          <w:sz w:val="20"/>
        </w:rPr>
        <w:t>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pStyle w:val="TextBody"/>
        <w:bidi w:val="0"/>
        <w:spacing w:lineRule="auto" w:line="288" w:before="0" w:after="0"/>
        <w:ind w:left="0" w:right="0" w:firstLine="720"/>
        <w:jc w:val="both"/>
        <w:rPr/>
      </w:pPr>
      <w:r>
        <w:rPr>
          <w:rFonts w:ascii="Times New Roman;sans-serif" w:hAnsi="Times New Roman;sans-serif"/>
          <w:b/>
          <w:color w:val="000000"/>
          <w:sz w:val="20"/>
        </w:rPr>
        <w:t>(k) “Executive Officer”</w:t>
      </w:r>
      <w:r>
        <w:rPr>
          <w:color w:val="000000"/>
        </w:rPr>
        <w:t xml:space="preserve"> </w:t>
      </w:r>
      <w:r>
        <w:rPr>
          <w:rFonts w:ascii="Times New Roman;sans-serif" w:hAnsi="Times New Roman;sans-serif"/>
          <w:b w:val="false"/>
          <w:color w:val="000000"/>
          <w:sz w:val="20"/>
        </w:rPr>
        <w:t xml:space="preserve">shall mean (i) the Company’s current and former president, principal financial officer, principal accounting officer (or if there is no principal accounting officer, the controller), any vice-president in charge of a principal business unit, division or function (such as sales, administration, or finance), any other officer who performs a policy-making function for the Company, or any other person who performs similar policy-making functions for the Company, as determined by the Committee in accordance with Federal securities laws, SEC rules or the rules of any national securities exchange or national securities association on which the Company’s securities are listed. Identification of an executive officer for purposes of this Policy includes at a minimum executive officers identified pursuant to 17 C.F.R. 229.401(b).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(l) “Financial Reporting Measures”</w:t>
      </w:r>
      <w:r>
        <w:rPr>
          <w:color w:val="000000"/>
        </w:rPr>
        <w:t xml:space="preserve"> </w:t>
      </w:r>
      <w:r>
        <w:rPr>
          <w:rFonts w:ascii="Times New Roman;sans-serif" w:hAnsi="Times New Roman;sans-serif"/>
          <w:b w:val="false"/>
          <w:color w:val="000000"/>
          <w:sz w:val="20"/>
        </w:rPr>
        <w:t xml:space="preserve">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 xml:space="preserve">(m) “Incentive-based Compensation” </w:t>
      </w:r>
      <w:r>
        <w:rPr>
          <w:rFonts w:ascii="Times New Roman;sans-serif" w:hAnsi="Times New Roman;sans-serif"/>
          <w:b w:val="false"/>
          <w:color w:val="000000"/>
          <w:sz w:val="20"/>
        </w:rPr>
        <w:t xml:space="preserve">shall mean any compensation that is granted, earned or vested based wholly or in part upon the attainment of a Financial Reporting Measure. Incentive-based Compensation does not include: (i) bonuses paid solely at the discretion of the Board or the Committee that are not paid from a bonus pool that is determined by satisfying a financial reporting measure performance goal or solely upon satisfying one or more subjective standards and/or completion of a specified employment period, (ii) non-equity incentive plan awards earned solely upon satisfying one or more strategic or operational measures, (iii) equity awards not contingent upon achieving any financial reporting measure performance goal and vesting is contingent solely upon the completion of a specified employment period and/or attaining one or more non-financial reporting measures or (iv) any Incentive-based Compensation received before the Company had a class of securities listed on a national securities exchange.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(n) “Policy”</w:t>
      </w:r>
      <w:r>
        <w:rPr>
          <w:color w:val="000000"/>
        </w:rPr>
        <w:t xml:space="preserve"> </w:t>
      </w:r>
      <w:r>
        <w:rPr>
          <w:rFonts w:ascii="Times New Roman;sans-serif" w:hAnsi="Times New Roman;sans-serif"/>
          <w:b w:val="false"/>
          <w:color w:val="000000"/>
          <w:sz w:val="20"/>
        </w:rPr>
        <w:t xml:space="preserve">shall mean this Clawback Policy, as the same may be amended and/or restated from time to time.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(o) “Received”</w:t>
      </w:r>
      <w:r>
        <w:rPr>
          <w:color w:val="000000"/>
        </w:rPr>
        <w:t xml:space="preserve"> </w:t>
      </w:r>
      <w:r>
        <w:rPr>
          <w:rFonts w:ascii="Times New Roman;sans-serif" w:hAnsi="Times New Roman;sans-serif"/>
          <w:b w:val="false"/>
          <w:color w:val="000000"/>
          <w:sz w:val="20"/>
        </w:rPr>
        <w:t xml:space="preserve">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(p) “Restatement Date”</w:t>
      </w:r>
      <w:r>
        <w:rPr>
          <w:color w:val="000000"/>
        </w:rPr>
        <w:t xml:space="preserve"> </w:t>
      </w:r>
      <w:r>
        <w:rPr>
          <w:rFonts w:ascii="Times New Roman;sans-serif" w:hAnsi="Times New Roman;sans-serif"/>
          <w:b w:val="false"/>
          <w:color w:val="000000"/>
          <w:sz w:val="20"/>
        </w:rPr>
        <w:t>shall mean the earlier to occur of (i) the date the Board, a committee of the Board or the officers of the Company authorized to take such action if Board action is not required, concludes, or reasonably should have concluded, that the issuer is required to prepare an Accounting Restatement, or (ii) the date of court, regulator or other legally authorized body directs the issuer to prepare an Accounting Restatement.</w:t>
      </w:r>
    </w:p>
    <w:p>
      <w:pPr>
        <w:pStyle w:val="TextBody"/>
        <w:bidi w:val="0"/>
        <w:spacing w:lineRule="auto" w:line="288" w:before="0" w:after="0"/>
        <w:ind w:left="0" w:right="0" w:firstLine="720"/>
        <w:jc w:val="both"/>
        <w:rPr/>
      </w:pPr>
      <w:r>
        <w:rPr>
          <w:rFonts w:ascii="Times New Roman;sans-serif" w:hAnsi="Times New Roman;sans-serif"/>
          <w:b/>
          <w:color w:val="000000"/>
          <w:sz w:val="20"/>
        </w:rPr>
        <w:t>(q) “SEC”</w:t>
      </w:r>
      <w:r>
        <w:rPr>
          <w:color w:val="000000"/>
        </w:rPr>
        <w:t xml:space="preserve"> </w:t>
      </w:r>
      <w:r>
        <w:rPr>
          <w:rFonts w:ascii="Times New Roman;sans-serif" w:hAnsi="Times New Roman;sans-serif"/>
          <w:b w:val="false"/>
          <w:color w:val="000000"/>
          <w:sz w:val="20"/>
        </w:rPr>
        <w:t xml:space="preserve">shall mean the U.S. Securities and Exchange Commission. </w:t>
      </w:r>
    </w:p>
    <w:p>
      <w:pPr>
        <w:pStyle w:val="TextBody"/>
        <w:bidi w:val="0"/>
        <w:spacing w:before="0" w:after="0"/>
        <w:ind w:left="0" w:right="0" w:firstLine="720"/>
        <w:jc w:val="both"/>
        <w:rPr/>
      </w:pPr>
      <w:r>
        <w:rPr/>
      </w:r>
    </w:p>
    <w:p>
      <w:pPr>
        <w:pStyle w:val="TextBody"/>
        <w:bidi w:val="0"/>
        <w:spacing w:lineRule="auto" w:line="288"/>
        <w:jc w:val="both"/>
        <w:rPr>
          <w:rFonts w:ascii="Times New Roman;sans-serif" w:hAnsi="Times New Roman;sans-serif"/>
          <w:b/>
          <w:color w:val="000000"/>
          <w:sz w:val="20"/>
        </w:rPr>
      </w:pPr>
      <w:r>
        <w:rPr>
          <w:rFonts w:ascii="Times New Roman;sans-serif" w:hAnsi="Times New Roman;sans-serif"/>
          <w:b/>
          <w:color w:val="000000"/>
          <w:sz w:val="20"/>
        </w:rPr>
        <w:t>4. Repayment of Erroneously Awarded Compensation.</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ans-serif" w:hAnsi="Times New Roman;sans-serif"/>
          <w:b/>
          <w:color w:val="000000"/>
          <w:sz w:val="20"/>
        </w:rPr>
        <w:t>(a)</w:t>
      </w:r>
      <w:r>
        <w:rPr>
          <w:color w:val="000000"/>
        </w:rPr>
        <w:t xml:space="preserve"> </w:t>
      </w:r>
      <w:r>
        <w:rPr>
          <w:rFonts w:ascii="Times New Roman;sans-serif" w:hAnsi="Times New Roman;sans-serif"/>
          <w:b w:val="false"/>
          <w:color w:val="000000"/>
          <w:sz w:val="20"/>
        </w:rPr>
        <w:t>In the event of an Accounting Restatement, the Committee shall determine the amount of any Erroneously Awarded Compensation for each Executive Officer in connection with such Accounting Restatement and thereafter, provide each Executive Officer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the Exchange).</w:t>
      </w:r>
    </w:p>
    <w:p>
      <w:pPr>
        <w:pStyle w:val="TextBody"/>
        <w:bidi w:val="0"/>
        <w:spacing w:lineRule="auto" w:line="288" w:before="0" w:after="0"/>
        <w:ind w:left="0" w:right="0" w:firstLine="720"/>
        <w:jc w:val="both"/>
        <w:rPr/>
      </w:pPr>
      <w:r>
        <w:rPr>
          <w:rFonts w:ascii="Times New Roman;sans-serif" w:hAnsi="Times New Roman;sans-serif"/>
          <w:b/>
          <w:color w:val="000000"/>
          <w:sz w:val="20"/>
        </w:rPr>
        <w:t>(b)</w:t>
      </w:r>
      <w:r>
        <w:rPr>
          <w:color w:val="000000"/>
        </w:rPr>
        <w:t xml:space="preserve"> </w:t>
      </w:r>
      <w:r>
        <w:rPr>
          <w:rFonts w:ascii="Times New Roman;sans-serif" w:hAnsi="Times New Roman;sans-serif"/>
          <w:b w:val="false"/>
          <w:color w:val="000000"/>
          <w:sz w:val="20"/>
        </w:rPr>
        <w:t xml:space="preserve">The Committee shall take such action as it deems appropriate to recover Erroneously Awarded Compensation reasonably promptly after such obligation is incurred and shall have broad discretion to determine the appropriate means of recovery of such Erroneously Awarded Compensation based on all applicable facts and circumstances. The Committee may seek recoupment in the manner it chooses, in its sole discretion, which may include, without limitation, one or a combination of the following: (i) direct reimbursement from the Executive Officer of Incentive-based Compensation previously paid, (ii) deduction of the recouped amount from unpaid compensation otherwise owed by the Company to the Executive Officer, (iii) set-off, (iv) rescinding or cancelling vested or unvested equity or cash based awards, and (v) any other remedial and recovery action permitted by law, as determined by the Committee. For the avoidance of doubt, except as set forth in Section 4(d) below, in no event may the Company Group accept an amount that is less than the amount of Erroneously Awarded Compensation in satisfaction of an Executive Officer’s obligations hereunder.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(c)</w:t>
      </w:r>
      <w:r>
        <w:rPr>
          <w:color w:val="000000"/>
        </w:rPr>
        <w:t xml:space="preserve"> </w:t>
      </w:r>
      <w:r>
        <w:rPr>
          <w:rFonts w:ascii="Times New Roman;sans-serif" w:hAnsi="Times New Roman;sans-serif"/>
          <w:b w:val="false"/>
          <w:color w:val="000000"/>
          <w:sz w:val="20"/>
        </w:rPr>
        <w:t xml:space="preserve">To the extent that an Executive Officer fails to repay all Erroneously Awarded Compensation to the Company Group when due (as determined in accordance with Section 4(b) above), the Company shall, or shall cause one or more other members of the Company Group to, take all actions reasonable and appropriate to recover such Erroneously Awarded Compensation from the applicable Executive Officer. The applicable Executive Officer shall be required to reimburse the Company Group for any and all expenses reasonably incurred (including legal fees) by the Company Group in recovering such Erroneously Awarded Compensation in accordance with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immediately preceding sentence.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(d)</w:t>
      </w:r>
      <w:r>
        <w:rPr>
          <w:color w:val="000000"/>
        </w:rPr>
        <w:t xml:space="preserve"> </w:t>
      </w:r>
      <w:r>
        <w:rPr>
          <w:rFonts w:ascii="Times New Roman;sans-serif" w:hAnsi="Times New Roman;sans-serif"/>
          <w:b w:val="false"/>
          <w:color w:val="000000"/>
          <w:sz w:val="20"/>
        </w:rPr>
        <w:t xml:space="preserve">Notwithstanding anything herein to the contrary, the Company shall not be required to take the actions contemplated by Section 4(b) above if the following conditions are met and the Committee determines that recovery would be impracticable: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(i)</w:t>
      </w:r>
      <w:r>
        <w:rPr>
          <w:color w:val="000000"/>
        </w:rPr>
        <w:t xml:space="preserve"> </w:t>
      </w:r>
      <w:r>
        <w:rPr>
          <w:rFonts w:ascii="Times New Roman;sans-serif" w:hAnsi="Times New Roman;sans-serif"/>
          <w:b w:val="false"/>
          <w:color w:val="000000"/>
          <w:sz w:val="20"/>
        </w:rPr>
        <w:t xml:space="preserve">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the Exchange.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(ii)</w:t>
      </w:r>
      <w:r>
        <w:rPr>
          <w:color w:val="000000"/>
        </w:rPr>
        <w:t xml:space="preserve"> </w:t>
      </w:r>
      <w:r>
        <w:rPr>
          <w:rFonts w:ascii="Times New Roman;sans-serif" w:hAnsi="Times New Roman;sans-serif"/>
          <w:b w:val="false"/>
          <w:color w:val="000000"/>
          <w:sz w:val="20"/>
        </w:rPr>
        <w:t xml:space="preserve">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the Exchange, that recovery would result in such a violation and a copy of the opinion is provided to the Exchange; or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ans-serif" w:hAnsi="Times New Roman;sans-serif"/>
          <w:b/>
          <w:color w:val="000000"/>
          <w:sz w:val="20"/>
        </w:rPr>
        <w:t>(iii)</w:t>
      </w:r>
      <w:r>
        <w:rPr>
          <w:color w:val="000000"/>
        </w:rPr>
        <w:t xml:space="preserve"> </w:t>
      </w:r>
      <w:r>
        <w:rPr>
          <w:rFonts w:ascii="Times New Roman;sans-serif" w:hAnsi="Times New Roman;sans-serif"/>
          <w:b w:val="false"/>
          <w:color w:val="000000"/>
          <w:sz w:val="20"/>
        </w:rPr>
        <w:t>Recovery would likely cause an otherwise tax-qualified retirement plan, under which benefits are broadly available to employees of the Company Group, to fail to meet the requirements of 26 U.S.C. 401(a)(13) or 26 U.S.C. 411(a) and regulations thereunder.</w:t>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ans-serif" w:hAnsi="Times New Roman;sans-serif"/>
          <w:b/>
          <w:color w:val="000000"/>
          <w:sz w:val="20"/>
        </w:rPr>
        <w:t>5. Reporting and Disclosure.</w:t>
      </w:r>
      <w:r>
        <w:rPr>
          <w:color w:val="000000"/>
        </w:rPr>
        <w:t xml:space="preserve"> </w:t>
      </w:r>
      <w:r>
        <w:rPr>
          <w:rFonts w:ascii="Times New Roman;sans-serif" w:hAnsi="Times New Roman;sans-serif"/>
          <w:b w:val="false"/>
          <w:color w:val="000000"/>
          <w:sz w:val="20"/>
        </w:rPr>
        <w:t>The Company shall file all disclosures with respect to this Policy in accordance with the requirement of the Federal securities laws, including the disclosure required by the applicable SEC filings.</w:t>
      </w:r>
    </w:p>
    <w:p>
      <w:pPr>
        <w:pStyle w:val="TextBody"/>
        <w:bidi w:val="0"/>
        <w:spacing w:lineRule="auto" w:line="288" w:before="0" w:after="0"/>
        <w:ind w:left="0" w:right="0" w:firstLine="720"/>
        <w:jc w:val="both"/>
        <w:rPr/>
      </w:pPr>
      <w:r>
        <w:rPr>
          <w:rFonts w:ascii="Times New Roman;sans-serif" w:hAnsi="Times New Roman;sans-serif"/>
          <w:b/>
          <w:color w:val="000000"/>
          <w:sz w:val="20"/>
        </w:rPr>
        <w:t>6. Indemnification Prohibition.</w:t>
      </w:r>
      <w:r>
        <w:rPr>
          <w:color w:val="000000"/>
        </w:rPr>
        <w:t xml:space="preserve"> </w:t>
      </w:r>
      <w:r>
        <w:rPr>
          <w:rFonts w:ascii="Times New Roman;sans-serif" w:hAnsi="Times New Roman;sans-serif"/>
          <w:b w:val="false"/>
          <w:color w:val="000000"/>
          <w:sz w:val="20"/>
        </w:rPr>
        <w:t xml:space="preserve">No member of the Company Group shall be permitted to indemnify any Executive Officer against (i) the loss of any 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7. Interpretation.</w:t>
      </w:r>
      <w:r>
        <w:rPr>
          <w:color w:val="000000"/>
        </w:rPr>
        <w:t xml:space="preserve"> </w:t>
      </w:r>
      <w:r>
        <w:rPr>
          <w:rFonts w:ascii="Times New Roman;sans-serif" w:hAnsi="Times New Roman;sans-serif"/>
          <w:b w:val="false"/>
          <w:color w:val="000000"/>
          <w:sz w:val="20"/>
        </w:rPr>
        <w:t xml:space="preserve">The Committee is authorized to interpret and construe this Policy and to make all determinations necessary, appropriate, or advisable for the administration of this Policy. This Policy shall be binding and enforceable against all Executive Officers and their beneficiaries, heirs, executors or other legal representatives.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 xml:space="preserve">8. Effective Date. </w:t>
      </w:r>
      <w:r>
        <w:rPr>
          <w:rFonts w:ascii="Times New Roman;sans-serif" w:hAnsi="Times New Roman;sans-serif"/>
          <w:b w:val="false"/>
          <w:color w:val="000000"/>
          <w:sz w:val="20"/>
        </w:rPr>
        <w:t xml:space="preserve">This Policy shall be effective as of the Effective Date.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9. Amendment; Termination.</w:t>
      </w:r>
      <w:r>
        <w:rPr>
          <w:color w:val="000000"/>
        </w:rPr>
        <w:t xml:space="preserve"> </w:t>
      </w:r>
      <w:r>
        <w:rPr>
          <w:rFonts w:ascii="Times New Roman;sans-serif" w:hAnsi="Times New Roman;sans-serif"/>
          <w:b w:val="false"/>
          <w:color w:val="000000"/>
          <w:sz w:val="20"/>
        </w:rPr>
        <w:t xml:space="preserve">The Committee may amend this Policy from time to time in its discretion and shall amend this Policy as it deems necessary, including as and when it determines that it is legally required by any Federal securities laws, SEC rules or the rules of any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rules or the rules of any national securities exchange or national securities association on which the Company’s securities are listed.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10. Other Recoupment Rights;</w:t>
      </w:r>
      <w:r>
        <w:rPr>
          <w:color w:val="000000"/>
        </w:rPr>
        <w:t xml:space="preserve"> </w:t>
      </w:r>
      <w:r>
        <w:rPr>
          <w:rFonts w:ascii="Times New Roman;sans-serif" w:hAnsi="Times New Roman;sans-serif"/>
          <w:b w:val="false"/>
          <w:color w:val="000000"/>
          <w:sz w:val="20"/>
        </w:rPr>
        <w:t>No Additional Payments. The Committee intends that this Policy will be applied to the fullest extent of the law. This Policy shall be incorporated by reference into and shall apply to all incentive, bonus, equity, equity-based and compensation plans, agreements, and awards outstanding as of the Effective Date or entered into on or after the Effective Date. The Committee may require that any employment agreement, equity award agreement, or any other agreement entered into on or after the Effective Date shall, as a condition to the grant of any benefit thereunder, require an Executive Officer to agree to abide by the terms of this Policy.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w:t>
      </w:r>
    </w:p>
    <w:p>
      <w:pPr>
        <w:pStyle w:val="TextBody"/>
        <w:bidi w:val="0"/>
        <w:spacing w:lineRule="auto" w:line="288" w:before="0" w:after="0"/>
        <w:ind w:left="0" w:right="0" w:firstLine="720"/>
        <w:jc w:val="both"/>
        <w:rPr/>
      </w:pPr>
      <w:r>
        <w:rPr>
          <w:rFonts w:ascii="Times New Roman;sans-serif" w:hAnsi="Times New Roman;sans-serif"/>
          <w:b/>
          <w:color w:val="000000"/>
          <w:sz w:val="20"/>
        </w:rPr>
        <w:t>11. Entire Agreement.</w:t>
      </w:r>
      <w:r>
        <w:rPr>
          <w:color w:val="000000"/>
        </w:rPr>
        <w:t xml:space="preserve"> </w:t>
      </w:r>
      <w:r>
        <w:rPr>
          <w:rFonts w:ascii="Times New Roman;sans-serif" w:hAnsi="Times New Roman;sans-serif"/>
          <w:b w:val="false"/>
          <w:color w:val="000000"/>
          <w:sz w:val="20"/>
        </w:rPr>
        <w:t xml:space="preserve">This Policy supersedes, replaces and merges any and all previous agreements and understandings regarding the Company’s policy on the recovery of compensation, and this Policy constitutes the entire agreement between the Company and the Executive Officers with respect to such terms and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12. Successors.</w:t>
      </w:r>
      <w:r>
        <w:rPr>
          <w:color w:val="000000"/>
        </w:rPr>
        <w:t xml:space="preserve"> </w:t>
      </w:r>
      <w:r>
        <w:rPr>
          <w:rFonts w:ascii="Times New Roman;sans-serif" w:hAnsi="Times New Roman;sans-serif"/>
          <w:b w:val="false"/>
          <w:color w:val="000000"/>
          <w:sz w:val="20"/>
        </w:rPr>
        <w:t xml:space="preserve">This Policy shall be binding and enforceable against all Executive Officers and their beneficiaries, heirs, executors, administrators or other legal representatives. </w:t>
      </w:r>
    </w:p>
    <w:p>
      <w:pPr>
        <w:pStyle w:val="TextBody"/>
        <w:bidi w:val="0"/>
        <w:spacing w:before="0" w:after="0"/>
        <w:ind w:left="0" w:right="0" w:firstLine="720"/>
        <w:jc w:val="both"/>
        <w:rPr/>
      </w:pPr>
      <w:r>
        <w:rPr/>
      </w:r>
    </w:p>
    <w:p>
      <w:pPr>
        <w:pStyle w:val="TextBody"/>
        <w:bidi w:val="0"/>
        <w:spacing w:lineRule="auto" w:line="288"/>
        <w:jc w:val="center"/>
        <w:rPr>
          <w:rFonts w:ascii="Times New Roman;sans-serif" w:hAnsi="Times New Roman;sans-serif"/>
          <w:b w:val="false"/>
          <w:color w:val="000000"/>
          <w:sz w:val="20"/>
        </w:rPr>
      </w:pPr>
      <w:r>
        <w:rPr>
          <w:rFonts w:ascii="Times New Roman;sans-serif" w:hAnsi="Times New Roman;sans-serif"/>
          <w:b w:val="false"/>
          <w:color w:val="000000"/>
          <w:sz w:val="20"/>
        </w:rPr>
        <w:t>* * *</w:t>
      </w:r>
    </w:p>
    <w:p>
      <w:pPr>
        <w:pStyle w:val="TextBody"/>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ix?doc=/Archives/edgar/data/1874315/000162828023013665/satl-20221231.htm" TargetMode="External"/><Relationship Id="rId7" Type="http://schemas.openxmlformats.org/officeDocument/2006/relationships/hyperlink" Target="https://www.sec.gov/Archives/edgar/data/1874315/000162828023013665/exhibit112023-03x08xamen.htm" TargetMode="External"/><Relationship Id="rId8" Type="http://schemas.openxmlformats.org/officeDocument/2006/relationships/hyperlink" Target="https://www.sec.gov/Archives/edgar/data/1874315/000162828023013665/exhibit112023-03x08xamen.htm" TargetMode="External"/><Relationship Id="rId9" Type="http://schemas.openxmlformats.org/officeDocument/2006/relationships/hyperlink" Target="https://www.sec.gov/Archives/edgar/data/1874315/000162828023013665/exhibit112023-03x08xamen.htm" TargetMode="External"/><Relationship Id="rId10" Type="http://schemas.openxmlformats.org/officeDocument/2006/relationships/hyperlink" Target="https://www.sec.gov/Archives/edgar/data/1874315/000162828023013665/exhibit112023-03x08xamen.htm" TargetMode="External"/><Relationship Id="rId11" Type="http://schemas.openxmlformats.org/officeDocument/2006/relationships/hyperlink" Target="https://www.sec.gov/Archives/edgar/data/1874315/000162828023013665/exhibit112023-03x08xamen.htm" TargetMode="External"/><Relationship Id="rId12" Type="http://schemas.openxmlformats.org/officeDocument/2006/relationships/hyperlink" Target="http://www.sec.gov/Archives/edgar/data/1874315/000119312521301889/d178511dex41.htm" TargetMode="External"/><Relationship Id="rId13" Type="http://schemas.openxmlformats.org/officeDocument/2006/relationships/hyperlink" Target="http://www.sec.gov/Archives/edgar/data/1874315/000119312521301889/d178511dex42.htm" TargetMode="External"/><Relationship Id="rId14" Type="http://schemas.openxmlformats.org/officeDocument/2006/relationships/hyperlink" Target="http://www.sec.gov/Archives/edgar/data/1874315/000119312521301889/d178511dex43.htm" TargetMode="External"/><Relationship Id="rId15" Type="http://schemas.openxmlformats.org/officeDocument/2006/relationships/hyperlink" Target="http://www.sec.gov/Archives/edgar/data/1828049/000114036121003257/brhc10019690_ex4-1.htm" TargetMode="External"/><Relationship Id="rId16" Type="http://schemas.openxmlformats.org/officeDocument/2006/relationships/hyperlink" Target="http://www.sec.gov/Archives/edgar/data/1874315/000119312522019976/d612581dex26.htm" TargetMode="External"/><Relationship Id="rId17" Type="http://schemas.openxmlformats.org/officeDocument/2006/relationships/hyperlink" Target="https://www.sec.gov/Archives/edgar/data/1874315/000143774924011908/ex_650720.htm" TargetMode="External"/><Relationship Id="rId18" Type="http://schemas.openxmlformats.org/officeDocument/2006/relationships/hyperlink" Target="https://www.sec.gov/Archives/edgar/data/1874315/000143774924011908/ex_650720.htm" TargetMode="External"/><Relationship Id="rId19" Type="http://schemas.openxmlformats.org/officeDocument/2006/relationships/hyperlink" Target="https://www.sec.gov/Archives/edgar/data/1874315/000143774924011908/ex_650720.htm" TargetMode="External"/><Relationship Id="rId20" Type="http://schemas.openxmlformats.org/officeDocument/2006/relationships/hyperlink" Target="https://www.sec.gov/Archives/edgar/data/1874315/000143774924011908/ex_650720.htm" TargetMode="External"/><Relationship Id="rId21" Type="http://schemas.openxmlformats.org/officeDocument/2006/relationships/hyperlink" Target="https://www.sec.gov/Archives/edgar/data/1874315/000143774924011908/ex_650720.htm" TargetMode="External"/><Relationship Id="rId22" Type="http://schemas.openxmlformats.org/officeDocument/2006/relationships/hyperlink" Target="https://www.sec.gov/Archives/edgar/data/1874315/000143774924011908/ex_650720.htm" TargetMode="External"/><Relationship Id="rId23" Type="http://schemas.openxmlformats.org/officeDocument/2006/relationships/hyperlink" Target="https://www.sec.gov/Archives/edgar/data/1874315/000143774924011908/ex_650720.htm" TargetMode="External"/><Relationship Id="rId24" Type="http://schemas.openxmlformats.org/officeDocument/2006/relationships/hyperlink" Target="https://www.sec.gov/Archives/edgar/data/1874315/000143774924011908/ex_650720.htm" TargetMode="External"/><Relationship Id="rId25" Type="http://schemas.openxmlformats.org/officeDocument/2006/relationships/hyperlink" Target="https://www.sec.gov/Archives/edgar/data/1874315/000143774924011908/ex_650720.htm" TargetMode="External"/><Relationship Id="rId26" Type="http://schemas.openxmlformats.org/officeDocument/2006/relationships/hyperlink" Target="https://www.sec.gov/Archives/edgar/data/1874315/000143774924011908/ex_650720.htm" TargetMode="External"/><Relationship Id="rId27" Type="http://schemas.openxmlformats.org/officeDocument/2006/relationships/hyperlink" Target="https://www.sec.gov/Archives/edgar/data/1874315/000143774924011908/ex_650720.htm" TargetMode="External"/><Relationship Id="rId28" Type="http://schemas.openxmlformats.org/officeDocument/2006/relationships/hyperlink" Target="http://www.sec.gov/Archives/edgar/data/1874315/000119312521244833/d178511dex106.htm" TargetMode="External"/><Relationship Id="rId29" Type="http://schemas.openxmlformats.org/officeDocument/2006/relationships/hyperlink" Target="http://www.sec.gov/Archives/edgar/data/1874315/000119312521282132/d178511dex107.htm" TargetMode="External"/><Relationship Id="rId30" Type="http://schemas.openxmlformats.org/officeDocument/2006/relationships/hyperlink" Target="http://www.sec.gov/Archives/edgar/data/1874315/000119312521244833/d178511dex108.htm" TargetMode="External"/><Relationship Id="rId31" Type="http://schemas.openxmlformats.org/officeDocument/2006/relationships/hyperlink" Target="http://www.sec.gov/Archives/edgar/data/1874315/000119312521301889/d178511dex109.htm" TargetMode="External"/><Relationship Id="rId32" Type="http://schemas.openxmlformats.org/officeDocument/2006/relationships/hyperlink" Target="http://www.sec.gov/Archives/edgar/data/1874315/000119312521301889/d178511dex1010.htm" TargetMode="External"/><Relationship Id="rId33" Type="http://schemas.openxmlformats.org/officeDocument/2006/relationships/hyperlink" Target="http://www.sec.gov/Archives/edgar/data/1874315/000119312521325594/d178511dex1011.htm" TargetMode="External"/><Relationship Id="rId34" Type="http://schemas.openxmlformats.org/officeDocument/2006/relationships/hyperlink" Target="http://www.sec.gov/Archives/edgar/data/1874315/000119312521353387/d266145dex991.htm" TargetMode="External"/><Relationship Id="rId35" Type="http://schemas.openxmlformats.org/officeDocument/2006/relationships/hyperlink" Target="http://www.sec.gov/Archives/edgar/data/1874315/000119312521353387/d266145dex992.htm" TargetMode="External"/><Relationship Id="rId36" Type="http://schemas.openxmlformats.org/officeDocument/2006/relationships/hyperlink" Target="http://www.sec.gov/Archives/edgar/data/1874315/000119312522019976/d612581dex109.htm" TargetMode="External"/><Relationship Id="rId37" Type="http://schemas.openxmlformats.org/officeDocument/2006/relationships/hyperlink" Target="http://www.sec.gov/Archives/edgar/data/1874315/000119312521244833/d178511dex101.htm" TargetMode="External"/><Relationship Id="rId38" Type="http://schemas.openxmlformats.org/officeDocument/2006/relationships/hyperlink" Target="http://www.sec.gov/Archives/edgar/data/1874315/000119312522010911/d256307dex992.htm" TargetMode="External"/><Relationship Id="rId39" Type="http://schemas.openxmlformats.org/officeDocument/2006/relationships/hyperlink" Target="http://www.sec.gov/Archives/edgar/data/1874315/000119312522010911/d256307dex993.htm" TargetMode="External"/><Relationship Id="rId40" Type="http://schemas.openxmlformats.org/officeDocument/2006/relationships/hyperlink" Target="http://www.sec.gov/Archives/edgar/data/1874315/000119312522039746/d274113dex1016.htm" TargetMode="External"/><Relationship Id="rId41" Type="http://schemas.openxmlformats.org/officeDocument/2006/relationships/hyperlink" Target="http://www.sec.gov/Archives/edgar/data/1874315/000119312522039746/d274113dex1017.htm" TargetMode="External"/><Relationship Id="rId42" Type="http://schemas.openxmlformats.org/officeDocument/2006/relationships/hyperlink" Target="http://www.sec.gov/Archives/edgar/data/1874315/000119312522039746/d274113dex1018.htm" TargetMode="External"/><Relationship Id="rId43" Type="http://schemas.openxmlformats.org/officeDocument/2006/relationships/hyperlink" Target="http://www.sec.gov/Archives/edgar/data/1874315/000119312522039746/d274113dex1019.htm" TargetMode="External"/><Relationship Id="rId44" Type="http://schemas.openxmlformats.org/officeDocument/2006/relationships/hyperlink" Target="http://www.sec.gov/Archives/edgar/data/1874315/000119312522039746/d274113dex1020.htm" TargetMode="External"/><Relationship Id="rId45" Type="http://schemas.openxmlformats.org/officeDocument/2006/relationships/hyperlink" Target="https://www.sec.gov/Archives/edgar/data/1874315/000162828023013665/formofrestrictedstockuni.htm" TargetMode="External"/><Relationship Id="rId46" Type="http://schemas.openxmlformats.org/officeDocument/2006/relationships/hyperlink" Target="https://www.sec.gov/Archives/edgar/data/1874315/000162828023013665/descriptionofsecurities.htm" TargetMode="External"/><Relationship Id="rId47" Type="http://schemas.openxmlformats.org/officeDocument/2006/relationships/hyperlink" Target="https://www.sec.gov/Archives/edgar/data/1874315/000162828023013665/descriptionofsecurities.htm" TargetMode="External"/><Relationship Id="rId48" Type="http://schemas.openxmlformats.org/officeDocument/2006/relationships/hyperlink" Target="https://www.sec.gov/Archives/edgar/data/1874315/000162828023013665/descriptionofsecurities.htm" TargetMode="External"/><Relationship Id="rId49" Type="http://schemas.openxmlformats.org/officeDocument/2006/relationships/hyperlink" Target="https://www.sec.gov/Archives/edgar/data/1874315/000162828023013665/descriptionofsecurities.htm" TargetMode="External"/><Relationship Id="rId50" Type="http://schemas.openxmlformats.org/officeDocument/2006/relationships/hyperlink" Target="https://www.sec.gov/Archives/edgar/data/1874315/000162828023013665/descriptionofsecurities.htm" TargetMode="External"/><Relationship Id="rId51" Type="http://schemas.openxmlformats.org/officeDocument/2006/relationships/hyperlink" Target="https://www.sec.gov/Archives/edgar/data/1874315/000162828023013665/descriptionofsecurities.htm" TargetMode="External"/><Relationship Id="rId52" Type="http://schemas.openxmlformats.org/officeDocument/2006/relationships/hyperlink" Target="https://www.sec.gov/Archives/edgar/data/1874315/000143774924011908/ex_650721.htm" TargetMode="External"/><Relationship Id="rId53" Type="http://schemas.openxmlformats.org/officeDocument/2006/relationships/hyperlink" Target="https://www.sec.gov/Archives/edgar/data/1874315/000143774924011908/ex_650721.htm" TargetMode="External"/><Relationship Id="rId54" Type="http://schemas.openxmlformats.org/officeDocument/2006/relationships/hyperlink" Target="https://www.sec.gov/Archives/edgar/data/1874315/000143774924011908/ex_650721.htm" TargetMode="External"/><Relationship Id="rId55" Type="http://schemas.openxmlformats.org/officeDocument/2006/relationships/hyperlink" Target="https://www.sec.gov/Archives/edgar/data/1874315/000143774924011908/ex_650721.htm" TargetMode="External"/><Relationship Id="rId56" Type="http://schemas.openxmlformats.org/officeDocument/2006/relationships/hyperlink" Target="https://www.sec.gov/Archives/edgar/data/1874315/000143774924011908/ex_650722.htm" TargetMode="External"/><Relationship Id="rId57" Type="http://schemas.openxmlformats.org/officeDocument/2006/relationships/hyperlink" Target="https://www.sec.gov/Archives/edgar/data/1874315/000143774924011908/ex_650722.htm" TargetMode="External"/><Relationship Id="rId58" Type="http://schemas.openxmlformats.org/officeDocument/2006/relationships/hyperlink" Target="https://www.sec.gov/Archives/edgar/data/1874315/000143774924011908/ex_650722.htm" TargetMode="External"/><Relationship Id="rId59" Type="http://schemas.openxmlformats.org/officeDocument/2006/relationships/hyperlink" Target="https://www.sec.gov/Archives/edgar/data/1874315/000143774924011908/ex_650722.htm" TargetMode="External"/><Relationship Id="rId60" Type="http://schemas.openxmlformats.org/officeDocument/2006/relationships/hyperlink" Target="https://www.sec.gov/Archives/edgar/data/1874315/000143774924011908/ex_650723.htm" TargetMode="External"/><Relationship Id="rId61" Type="http://schemas.openxmlformats.org/officeDocument/2006/relationships/hyperlink" Target="https://www.sec.gov/Archives/edgar/data/1874315/000143774924011908/ex_650723.htm" TargetMode="External"/><Relationship Id="rId62" Type="http://schemas.openxmlformats.org/officeDocument/2006/relationships/hyperlink" Target="https://www.sec.gov/Archives/edgar/data/1874315/000143774924011908/ex_650723.htm" TargetMode="External"/><Relationship Id="rId63" Type="http://schemas.openxmlformats.org/officeDocument/2006/relationships/hyperlink" Target="https://www.sec.gov/Archives/edgar/data/1874315/000143774924011908/ex_650723.htm" TargetMode="External"/><Relationship Id="rId64" Type="http://schemas.openxmlformats.org/officeDocument/2006/relationships/hyperlink" Target="https://www.sec.gov/Archives/edgar/data/1874315/000143774924011908/ex_650723.htm" TargetMode="External"/><Relationship Id="rId65" Type="http://schemas.openxmlformats.org/officeDocument/2006/relationships/hyperlink" Target="https://www.sec.gov/Archives/edgar/data/1874315/000162828023013665/descriptionofsecurities.htm" TargetMode="External"/><Relationship Id="rId66" Type="http://schemas.openxmlformats.org/officeDocument/2006/relationships/hyperlink" Target="https://www.sec.gov/Archives/edgar/data/1874315/000162828023013665/descriptionofsecurities.htm" TargetMode="External"/><Relationship Id="rId67" Type="http://schemas.openxmlformats.org/officeDocument/2006/relationships/hyperlink" Target="https://www.sec.gov/Archives/edgar/data/1874315/000162828023013665/descriptionofsecurities.htm" TargetMode="External"/><Relationship Id="rId68" Type="http://schemas.openxmlformats.org/officeDocument/2006/relationships/hyperlink" Target="https://www.sec.gov/Archives/edgar/data/1874315/000162828023013665/descriptionofsecurities.htm" TargetMode="External"/><Relationship Id="rId69" Type="http://schemas.openxmlformats.org/officeDocument/2006/relationships/hyperlink" Target="https://www.sec.gov/Archives/edgar/data/1874315/000162828023013665/descriptionofsecurities.htm" TargetMode="External"/><Relationship Id="rId70" Type="http://schemas.openxmlformats.org/officeDocument/2006/relationships/hyperlink" Target="https://www.sec.gov/Archives/edgar/data/1874315/000162828023013665/descriptionofsecurities.htm" TargetMode="External"/><Relationship Id="rId71" Type="http://schemas.openxmlformats.org/officeDocument/2006/relationships/hyperlink" Target="https://www.sec.gov/Archives/edgar/data/1874315/000162828023013665/descriptionofsecurities.htm" TargetMode="External"/><Relationship Id="rId72" Type="http://schemas.openxmlformats.org/officeDocument/2006/relationships/hyperlink" Target="https://www.sec.gov/Archives/edgar/data/1874315/000162828023013665/descriptionofsecurities.htm" TargetMode="External"/><Relationship Id="rId73" Type="http://schemas.openxmlformats.org/officeDocument/2006/relationships/hyperlink" Target="https://www.sec.gov/Archives/edgar/data/1874315/000162828023013665/descriptionofsecurities.htm" TargetMode="External"/><Relationship Id="rId74" Type="http://schemas.openxmlformats.org/officeDocument/2006/relationships/hyperlink" Target="https://www.sec.gov/Archives/edgar/data/1874315/000162828023013665/descriptionofsecurities.htm" TargetMode="External"/><Relationship Id="rId75" Type="http://schemas.openxmlformats.org/officeDocument/2006/relationships/hyperlink" Target="https://www.sec.gov/Archives/edgar/data/1874315/000162828023013665/descriptionofsecurities.htm" TargetMode="External"/><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92560</Words>
  <Characters>508788</Characters>
  <CharactersWithSpaces>598727</CharactersWithSpaces>
  <Paragraphs>5015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