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6900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pacing w:after="0" w:line="38" w:lineRule="exact"/>
        <w:rPr>
          <w:sz w:val="24"/>
          <w:szCs w:val="24"/>
          <w:color w:val="auto"/>
        </w:rPr>
      </w:pPr>
    </w:p>
    <w:p>
      <w:pPr>
        <w:ind w:left="25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900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00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left="4260"/>
        <w:spacing w:after="0"/>
        <w:rPr>
          <w:sz w:val="20"/>
          <w:szCs w:val="20"/>
          <w:color w:val="auto"/>
        </w:rPr>
      </w:pPr>
      <w:r>
        <w:rPr>
          <w:rFonts w:ascii="Arial" w:cs="Arial" w:eastAsia="Arial" w:hAnsi="Arial"/>
          <w:sz w:val="20"/>
          <w:szCs w:val="20"/>
          <w:b w:val="1"/>
          <w:bCs w:val="1"/>
          <w:color w:val="auto"/>
        </w:rPr>
        <w:t>Report of Foreign Private Issuer</w:t>
      </w:r>
    </w:p>
    <w:p>
      <w:pPr>
        <w:ind w:left="4180"/>
        <w:spacing w:after="0" w:line="197" w:lineRule="auto"/>
        <w:rPr>
          <w:sz w:val="20"/>
          <w:szCs w:val="20"/>
          <w:color w:val="auto"/>
        </w:rPr>
      </w:pPr>
      <w:r>
        <w:rPr>
          <w:rFonts w:ascii="Arial" w:cs="Arial" w:eastAsia="Arial" w:hAnsi="Arial"/>
          <w:sz w:val="20"/>
          <w:szCs w:val="20"/>
          <w:b w:val="1"/>
          <w:bCs w:val="1"/>
          <w:color w:val="auto"/>
        </w:rPr>
        <w:t>Pursuant to Rule 13a-16 or 15d-16</w:t>
      </w:r>
    </w:p>
    <w:p>
      <w:pPr>
        <w:ind w:left="400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5" w:lineRule="exact"/>
        <w:rPr>
          <w:sz w:val="24"/>
          <w:szCs w:val="24"/>
          <w:color w:val="auto"/>
        </w:rPr>
      </w:pPr>
    </w:p>
    <w:p>
      <w:pPr>
        <w:ind w:left="4080"/>
        <w:spacing w:after="0"/>
        <w:rPr>
          <w:sz w:val="20"/>
          <w:szCs w:val="20"/>
          <w:color w:val="auto"/>
        </w:rPr>
      </w:pPr>
      <w:r>
        <w:rPr>
          <w:rFonts w:ascii="Arial" w:cs="Arial" w:eastAsia="Arial" w:hAnsi="Arial"/>
          <w:sz w:val="20"/>
          <w:szCs w:val="20"/>
          <w:b w:val="1"/>
          <w:bCs w:val="1"/>
          <w:color w:val="auto"/>
        </w:rPr>
        <w:t>Date of Report: September 21, 2023</w:t>
      </w:r>
    </w:p>
    <w:p>
      <w:pPr>
        <w:jc w:val="center"/>
        <w:ind w:right="-239"/>
        <w:spacing w:after="0"/>
        <w:rPr>
          <w:sz w:val="20"/>
          <w:szCs w:val="20"/>
          <w:color w:val="auto"/>
        </w:rPr>
      </w:pPr>
      <w:r>
        <w:rPr>
          <w:rFonts w:ascii="Arial" w:cs="Arial" w:eastAsia="Arial" w:hAnsi="Arial"/>
          <w:sz w:val="20"/>
          <w:szCs w:val="20"/>
          <w:b w:val="1"/>
          <w:bCs w:val="1"/>
          <w:color w:val="auto"/>
        </w:rPr>
        <w:t>Commission File Number: 001-41247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39"/>
        <w:spacing w:after="0"/>
        <w:rPr>
          <w:sz w:val="20"/>
          <w:szCs w:val="20"/>
          <w:color w:val="auto"/>
        </w:rPr>
      </w:pPr>
      <w:r>
        <w:rPr>
          <w:rFonts w:ascii="Arial" w:cs="Arial" w:eastAsia="Arial" w:hAnsi="Arial"/>
          <w:sz w:val="38"/>
          <w:szCs w:val="38"/>
          <w:b w:val="1"/>
          <w:bCs w:val="1"/>
          <w:color w:val="auto"/>
        </w:rPr>
        <w:t>Satellogic Inc.</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(Translation of registrant’s name in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Ruta 8 Km 17,500, Edificio 300</w:t>
      </w:r>
    </w:p>
    <w:p>
      <w:pPr>
        <w:jc w:val="center"/>
        <w:ind w:right="-239"/>
        <w:spacing w:after="0" w:line="197" w:lineRule="auto"/>
        <w:rPr>
          <w:sz w:val="20"/>
          <w:szCs w:val="20"/>
          <w:color w:val="auto"/>
        </w:rPr>
      </w:pPr>
      <w:r>
        <w:rPr>
          <w:rFonts w:ascii="Arial" w:cs="Arial" w:eastAsia="Arial" w:hAnsi="Arial"/>
          <w:sz w:val="20"/>
          <w:szCs w:val="20"/>
          <w:b w:val="1"/>
          <w:bCs w:val="1"/>
          <w:color w:val="auto"/>
        </w:rPr>
        <w:t>Oficina 324 Zonamérica</w:t>
      </w:r>
    </w:p>
    <w:p>
      <w:pPr>
        <w:jc w:val="center"/>
        <w:ind w:right="-239"/>
        <w:spacing w:after="0" w:line="216" w:lineRule="auto"/>
        <w:rPr>
          <w:sz w:val="20"/>
          <w:szCs w:val="20"/>
          <w:color w:val="auto"/>
        </w:rPr>
      </w:pPr>
      <w:r>
        <w:rPr>
          <w:rFonts w:ascii="Arial" w:cs="Arial" w:eastAsia="Arial" w:hAnsi="Arial"/>
          <w:sz w:val="20"/>
          <w:szCs w:val="20"/>
          <w:b w:val="1"/>
          <w:bCs w:val="1"/>
          <w:color w:val="auto"/>
        </w:rPr>
        <w:t>Montevideo, 91600, Uruguay</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900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files or will file annual reports under cover of Form 20-F or Form 40-F:</w:t>
      </w:r>
    </w:p>
    <w:p>
      <w:pPr>
        <w:spacing w:after="0" w:line="131" w:lineRule="exact"/>
        <w:rPr>
          <w:sz w:val="24"/>
          <w:szCs w:val="24"/>
          <w:color w:val="auto"/>
        </w:rPr>
      </w:pPr>
    </w:p>
    <w:p>
      <w:pPr>
        <w:spacing w:after="0" w:line="230" w:lineRule="exact"/>
        <w:tabs>
          <w:tab w:leader="none" w:pos="1320" w:val="left"/>
        </w:tabs>
        <w:rPr>
          <w:sz w:val="20"/>
          <w:szCs w:val="20"/>
          <w:color w:val="auto"/>
        </w:rPr>
      </w:pPr>
      <w:r>
        <w:rPr>
          <w:rFonts w:ascii="Arial" w:cs="Arial" w:eastAsia="Arial" w:hAnsi="Arial"/>
          <w:sz w:val="20"/>
          <w:szCs w:val="20"/>
          <w:color w:val="auto"/>
        </w:rPr>
        <w:t xml:space="preserve">Form 20-F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Form 40-F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59" w:lineRule="exact"/>
        <w:rPr>
          <w:sz w:val="24"/>
          <w:szCs w:val="24"/>
          <w:color w:val="auto"/>
        </w:rPr>
      </w:pPr>
    </w:p>
    <w:p>
      <w:pPr>
        <w:spacing w:after="0" w:line="239"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Regulation S-T Rule 101(b)(1) only permits the submission in paper of a Form 6-K if submitted solely to provide an attached annual</w:t>
      </w:r>
      <w:r>
        <w:rPr>
          <w:rFonts w:ascii="Arial" w:cs="Arial" w:eastAsia="Arial" w:hAnsi="Arial"/>
          <w:sz w:val="20"/>
          <w:szCs w:val="20"/>
          <w:b w:val="1"/>
          <w:bCs w:val="1"/>
          <w:color w:val="auto"/>
        </w:rPr>
        <w:t xml:space="preserve"> </w:t>
      </w:r>
      <w:r>
        <w:rPr>
          <w:rFonts w:ascii="Arial" w:cs="Arial" w:eastAsia="Arial" w:hAnsi="Arial"/>
          <w:sz w:val="20"/>
          <w:szCs w:val="20"/>
          <w:color w:val="auto"/>
        </w:rPr>
        <w:t>report to security holders.</w:t>
      </w:r>
    </w:p>
    <w:p>
      <w:pPr>
        <w:spacing w:after="0" w:line="118"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81" w:lineRule="exact"/>
        <w:rPr>
          <w:sz w:val="24"/>
          <w:szCs w:val="24"/>
          <w:color w:val="auto"/>
        </w:rPr>
      </w:pPr>
    </w:p>
    <w:p>
      <w:pPr>
        <w:ind w:left="80" w:right="240"/>
        <w:spacing w:after="0" w:line="250" w:lineRule="auto"/>
        <w:rPr>
          <w:sz w:val="20"/>
          <w:szCs w:val="20"/>
          <w:color w:val="auto"/>
        </w:rPr>
      </w:pPr>
      <w:r>
        <w:rPr>
          <w:rFonts w:ascii="Arial" w:cs="Arial" w:eastAsia="Arial" w:hAnsi="Arial"/>
          <w:sz w:val="19"/>
          <w:szCs w:val="19"/>
          <w:b w:val="1"/>
          <w:bCs w:val="1"/>
          <w:color w:val="auto"/>
        </w:rPr>
        <w:t>Note</w:t>
      </w:r>
      <w:r>
        <w:rPr>
          <w:rFonts w:ascii="Arial" w:cs="Arial" w:eastAsia="Arial" w:hAnsi="Arial"/>
          <w:sz w:val="19"/>
          <w:szCs w:val="19"/>
          <w:color w:val="auto"/>
        </w:rPr>
        <w:t>: Regulation S-T Rule 101(b)(7) only permits the submission in paper of a Form 6-K if submitted to furnish a report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900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00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000"/>
          </w:cols>
          <w:pgMar w:left="320" w:top="1295" w:right="5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20"/>
          <w:szCs w:val="20"/>
          <w:b w:val="1"/>
          <w:bCs w:val="1"/>
          <w:color w:val="auto"/>
        </w:rPr>
        <w:t>Explanatory Note</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Satellogic Inc. (“Satellogic”) is furnishing this report on Form 6-K to provide its unaudited condensed consolidated financial statements as of June 30, 2023 and December 31, 2022 and for the six months ended June 30, 2023 and 2022 and to provide Management’s Discussion and</w:t>
      </w:r>
    </w:p>
    <w:p>
      <w:pPr>
        <w:spacing w:after="0"/>
        <w:rPr>
          <w:sz w:val="20"/>
          <w:szCs w:val="20"/>
          <w:color w:val="auto"/>
        </w:rPr>
      </w:pPr>
      <w:r>
        <w:rPr>
          <w:rFonts w:ascii="Arial" w:cs="Arial" w:eastAsia="Arial" w:hAnsi="Arial"/>
          <w:sz w:val="20"/>
          <w:szCs w:val="20"/>
          <w:color w:val="auto"/>
        </w:rPr>
        <w:t>Analysis of Financial Condition and Results of Operations with respect to such financial statements.</w:t>
      </w:r>
    </w:p>
    <w:p>
      <w:pPr>
        <w:spacing w:after="0" w:line="17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unaudited condensed consolidated financial statements as of June 30, 2023 and December 31, 2022 and for the six months ended June 30, 2023 and 2022 are attached to this Form 6-K as Exhibit 99.1. Management’s Discussion and Analysis of Financial Condition and Results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Operations is attached to this Form 6-K as Exhibit 99.2.</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29"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20"/>
          <w:szCs w:val="20"/>
          <w:b w:val="1"/>
          <w:bCs w:val="1"/>
          <w:color w:val="auto"/>
        </w:rPr>
        <w:t>Exhibit</w:t>
      </w:r>
      <w:r>
        <w:rPr>
          <w:sz w:val="20"/>
          <w:szCs w:val="20"/>
          <w:color w:val="auto"/>
        </w:rPr>
        <w:tab/>
      </w: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763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40" w:lineRule="exact"/>
        <w:rPr>
          <w:sz w:val="20"/>
          <w:szCs w:val="20"/>
          <w:color w:val="auto"/>
        </w:rPr>
      </w:pPr>
    </w:p>
    <w:p>
      <w:pPr>
        <w:ind w:left="1180" w:right="760" w:hanging="1160"/>
        <w:spacing w:after="0" w:line="236" w:lineRule="auto"/>
        <w:tabs>
          <w:tab w:leader="none" w:pos="116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20"/>
          <w:szCs w:val="20"/>
          <w:u w:val="single" w:color="auto"/>
          <w:color w:val="0000FF"/>
        </w:rPr>
        <w:t>Unaudited Condensed Consolidated Financial Statements as of June 30, 2023 and December 31, 2022 and for the six months ended June 30, 2023 and 2022.</w:t>
      </w:r>
    </w:p>
    <w:p>
      <w:pPr>
        <w:spacing w:after="0" w:line="1" w:lineRule="exact"/>
        <w:rPr>
          <w:sz w:val="20"/>
          <w:szCs w:val="20"/>
          <w:color w:val="auto"/>
        </w:rPr>
      </w:pPr>
    </w:p>
    <w:p>
      <w:pPr>
        <w:ind w:left="20"/>
        <w:spacing w:after="0"/>
        <w:tabs>
          <w:tab w:leader="none" w:pos="1160" w:val="left"/>
        </w:tabs>
        <w:rPr>
          <w:sz w:val="20"/>
          <w:szCs w:val="20"/>
          <w:color w:val="auto"/>
        </w:rPr>
      </w:pPr>
      <w:r>
        <w:rPr>
          <w:rFonts w:ascii="Arial" w:cs="Arial" w:eastAsia="Arial" w:hAnsi="Arial"/>
          <w:sz w:val="20"/>
          <w:szCs w:val="20"/>
          <w:color w:val="auto"/>
        </w:rPr>
        <w:t>99.2</w:t>
      </w:r>
      <w:r>
        <w:rPr>
          <w:sz w:val="20"/>
          <w:szCs w:val="20"/>
          <w:color w:val="auto"/>
        </w:rPr>
        <w:tab/>
      </w:r>
      <w:r>
        <w:rPr>
          <w:rFonts w:ascii="Arial" w:cs="Arial" w:eastAsia="Arial" w:hAnsi="Arial"/>
          <w:sz w:val="18"/>
          <w:szCs w:val="18"/>
          <w:u w:val="single" w:color="auto"/>
          <w:color w:val="0000FF"/>
        </w:rPr>
        <w:t>Management’s Discussion and Analysis of Financial Condition and Results of Operations.</w:t>
      </w:r>
    </w:p>
    <w:p>
      <w:pPr>
        <w:spacing w:after="0" w:line="33" w:lineRule="exact"/>
        <w:rPr>
          <w:sz w:val="20"/>
          <w:szCs w:val="20"/>
          <w:color w:val="auto"/>
        </w:rPr>
      </w:pPr>
    </w:p>
    <w:p>
      <w:pPr>
        <w:ind w:left="1180" w:right="600" w:hanging="1154"/>
        <w:spacing w:after="0" w:line="217" w:lineRule="auto"/>
        <w:tabs>
          <w:tab w:leader="none" w:pos="1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following materials from Satellogic’s Report on Form 6-K as of June 30, 2023 and December 31, 2022 and for the six months ended June 30, 2023 and 2022 formatted in XBRL (eXtensible Business Reporting Language): (i) the Condensed Consolidated Statements of Operations and Comprehensive Loss, (ii) the Condensed Consolidated Balance Sheets, (iii) the Condensed Consolidated Statements of Redeemable Preferred Stock and Stockholders' Equity (Deficit), (iv) the Condensed Consolidated Statements of Cash Flows, and (v)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1203325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3" w:right="3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420" w:type="dxa"/>
            <w:vAlign w:val="bottom"/>
          </w:tcPr>
          <w:p>
            <w:pPr>
              <w:spacing w:after="0"/>
              <w:rPr>
                <w:sz w:val="22"/>
                <w:szCs w:val="22"/>
                <w:color w:val="auto"/>
              </w:rPr>
            </w:pPr>
          </w:p>
        </w:tc>
        <w:tc>
          <w:tcPr>
            <w:tcW w:w="7220" w:type="dxa"/>
            <w:vAlign w:val="bottom"/>
            <w:gridSpan w:val="2"/>
          </w:tcPr>
          <w:p>
            <w:pPr>
              <w:ind w:left="1820"/>
              <w:spacing w:after="0"/>
              <w:rPr>
                <w:sz w:val="20"/>
                <w:szCs w:val="20"/>
                <w:color w:val="auto"/>
              </w:rPr>
            </w:pPr>
            <w:r>
              <w:rPr>
                <w:rFonts w:ascii="Arial" w:cs="Arial" w:eastAsia="Arial" w:hAnsi="Arial"/>
                <w:sz w:val="20"/>
                <w:szCs w:val="20"/>
                <w:b w:val="1"/>
                <w:bCs w:val="1"/>
                <w:color w:val="auto"/>
              </w:rPr>
              <w:t>SATELLOGIC INC.</w:t>
            </w:r>
          </w:p>
        </w:tc>
      </w:tr>
      <w:tr>
        <w:trPr>
          <w:trHeight w:val="270"/>
        </w:trPr>
        <w:tc>
          <w:tcPr>
            <w:tcW w:w="3420" w:type="dxa"/>
            <w:vAlign w:val="bottom"/>
          </w:tcPr>
          <w:p>
            <w:pPr>
              <w:spacing w:after="0"/>
              <w:rPr>
                <w:sz w:val="23"/>
                <w:szCs w:val="23"/>
                <w:color w:val="auto"/>
              </w:rPr>
            </w:pPr>
          </w:p>
        </w:tc>
        <w:tc>
          <w:tcPr>
            <w:tcW w:w="7220" w:type="dxa"/>
            <w:vAlign w:val="bottom"/>
            <w:gridSpan w:val="2"/>
          </w:tcPr>
          <w:p>
            <w:pPr>
              <w:ind w:left="1820"/>
              <w:spacing w:after="0"/>
              <w:rPr>
                <w:sz w:val="20"/>
                <w:szCs w:val="20"/>
                <w:color w:val="auto"/>
              </w:rPr>
            </w:pPr>
            <w:r>
              <w:rPr>
                <w:rFonts w:ascii="Arial" w:cs="Arial" w:eastAsia="Arial" w:hAnsi="Arial"/>
                <w:sz w:val="20"/>
                <w:szCs w:val="20"/>
                <w:color w:val="auto"/>
              </w:rPr>
              <w:t>(Registrant)</w:t>
            </w:r>
          </w:p>
        </w:tc>
      </w:tr>
      <w:tr>
        <w:trPr>
          <w:trHeight w:val="545"/>
        </w:trPr>
        <w:tc>
          <w:tcPr>
            <w:tcW w:w="3420" w:type="dxa"/>
            <w:vAlign w:val="bottom"/>
          </w:tcPr>
          <w:p>
            <w:pPr>
              <w:spacing w:after="0"/>
              <w:rPr>
                <w:sz w:val="20"/>
                <w:szCs w:val="20"/>
                <w:color w:val="auto"/>
              </w:rPr>
            </w:pPr>
            <w:r>
              <w:rPr>
                <w:rFonts w:ascii="Arial" w:cs="Arial" w:eastAsia="Arial" w:hAnsi="Arial"/>
                <w:sz w:val="20"/>
                <w:szCs w:val="20"/>
                <w:color w:val="auto"/>
              </w:rPr>
              <w:t>September 21, 2023</w:t>
            </w:r>
          </w:p>
        </w:tc>
        <w:tc>
          <w:tcPr>
            <w:tcW w:w="7220" w:type="dxa"/>
            <w:vAlign w:val="bottom"/>
            <w:gridSpan w:val="2"/>
          </w:tcPr>
          <w:p>
            <w:pPr>
              <w:ind w:left="1820"/>
              <w:spacing w:after="0"/>
              <w:rPr>
                <w:sz w:val="20"/>
                <w:szCs w:val="20"/>
                <w:color w:val="auto"/>
              </w:rPr>
            </w:pPr>
            <w:r>
              <w:rPr>
                <w:rFonts w:ascii="Arial" w:cs="Arial" w:eastAsia="Arial" w:hAnsi="Arial"/>
                <w:sz w:val="20"/>
                <w:szCs w:val="20"/>
                <w:color w:val="auto"/>
              </w:rPr>
              <w:t>By:   /s/ Rick Dunn</w:t>
            </w:r>
          </w:p>
        </w:tc>
      </w:tr>
      <w:tr>
        <w:trPr>
          <w:trHeight w:val="249"/>
        </w:trPr>
        <w:tc>
          <w:tcPr>
            <w:tcW w:w="3420" w:type="dxa"/>
            <w:vAlign w:val="bottom"/>
          </w:tcPr>
          <w:p>
            <w:pPr>
              <w:spacing w:after="0"/>
              <w:rPr>
                <w:sz w:val="21"/>
                <w:szCs w:val="21"/>
                <w:color w:val="auto"/>
              </w:rPr>
            </w:pPr>
          </w:p>
        </w:tc>
        <w:tc>
          <w:tcPr>
            <w:tcW w:w="2340" w:type="dxa"/>
            <w:vAlign w:val="bottom"/>
          </w:tcPr>
          <w:p>
            <w:pPr>
              <w:ind w:left="1820"/>
              <w:spacing w:after="0"/>
              <w:rPr>
                <w:sz w:val="20"/>
                <w:szCs w:val="20"/>
                <w:color w:val="auto"/>
              </w:rPr>
            </w:pPr>
            <w:r>
              <w:rPr>
                <w:rFonts w:ascii="Arial" w:cs="Arial" w:eastAsia="Arial" w:hAnsi="Arial"/>
                <w:sz w:val="20"/>
                <w:szCs w:val="20"/>
                <w:color w:val="auto"/>
                <w:w w:val="84"/>
              </w:rPr>
              <w:t>Name:</w:t>
            </w:r>
          </w:p>
        </w:tc>
        <w:tc>
          <w:tcPr>
            <w:tcW w:w="48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Rick Dunn</w:t>
            </w:r>
          </w:p>
        </w:tc>
      </w:tr>
      <w:tr>
        <w:trPr>
          <w:trHeight w:val="267"/>
        </w:trPr>
        <w:tc>
          <w:tcPr>
            <w:tcW w:w="3420" w:type="dxa"/>
            <w:vAlign w:val="bottom"/>
          </w:tcPr>
          <w:p>
            <w:pPr>
              <w:spacing w:after="0"/>
              <w:rPr>
                <w:sz w:val="23"/>
                <w:szCs w:val="23"/>
                <w:color w:val="auto"/>
              </w:rPr>
            </w:pPr>
          </w:p>
        </w:tc>
        <w:tc>
          <w:tcPr>
            <w:tcW w:w="7220" w:type="dxa"/>
            <w:vAlign w:val="bottom"/>
            <w:gridSpan w:val="2"/>
          </w:tcPr>
          <w:p>
            <w:pPr>
              <w:ind w:left="18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020"/>
          </w:cols>
          <w:pgMar w:left="320" w:top="1156" w:right="5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400" w:type="dxa"/>
            <w:vAlign w:val="bottom"/>
          </w:tcPr>
          <w:p>
            <w:pPr>
              <w:ind w:left="660"/>
              <w:spacing w:after="0"/>
              <w:rPr>
                <w:sz w:val="20"/>
                <w:szCs w:val="20"/>
                <w:color w:val="auto"/>
              </w:rPr>
            </w:pPr>
            <w:r>
              <w:rPr>
                <w:rFonts w:ascii="Arial" w:cs="Arial" w:eastAsia="Arial" w:hAnsi="Arial"/>
                <w:sz w:val="20"/>
                <w:szCs w:val="20"/>
                <w:b w:val="1"/>
                <w:bCs w:val="1"/>
                <w:color w:val="auto"/>
              </w:rPr>
              <w:t>Exhibit 99.1 - Satellogic’s Unaudited Condensed Consolidated Financial Statements</w:t>
            </w:r>
          </w:p>
        </w:tc>
        <w:tc>
          <w:tcPr>
            <w:tcW w:w="840" w:type="dxa"/>
            <w:vAlign w:val="bottom"/>
          </w:tcPr>
          <w:p>
            <w:pPr>
              <w:spacing w:after="0"/>
              <w:rPr>
                <w:sz w:val="22"/>
                <w:szCs w:val="22"/>
                <w:color w:val="auto"/>
              </w:rPr>
            </w:pPr>
          </w:p>
        </w:tc>
      </w:tr>
      <w:tr>
        <w:trPr>
          <w:trHeight w:val="1188"/>
        </w:trPr>
        <w:tc>
          <w:tcPr>
            <w:tcW w:w="10400" w:type="dxa"/>
            <w:vAlign w:val="bottom"/>
          </w:tcPr>
          <w:p>
            <w:pPr>
              <w:ind w:left="20"/>
              <w:spacing w:after="0"/>
              <w:rPr>
                <w:sz w:val="20"/>
                <w:szCs w:val="20"/>
                <w:color w:val="auto"/>
              </w:rPr>
            </w:pPr>
            <w:r>
              <w:rPr>
                <w:rFonts w:ascii="Arial" w:cs="Arial" w:eastAsia="Arial" w:hAnsi="Arial"/>
                <w:sz w:val="20"/>
                <w:szCs w:val="20"/>
                <w:b w:val="1"/>
                <w:bCs w:val="1"/>
                <w:color w:val="auto"/>
              </w:rPr>
              <w:t>Index to Unaudited Condensed Consolidated Financial Statements</w:t>
            </w:r>
          </w:p>
        </w:tc>
        <w:tc>
          <w:tcPr>
            <w:tcW w:w="840" w:type="dxa"/>
            <w:vAlign w:val="bottom"/>
          </w:tcPr>
          <w:p>
            <w:pPr>
              <w:spacing w:after="0"/>
              <w:rPr>
                <w:sz w:val="24"/>
                <w:szCs w:val="24"/>
                <w:color w:val="auto"/>
              </w:rPr>
            </w:pPr>
          </w:p>
        </w:tc>
      </w:tr>
      <w:tr>
        <w:trPr>
          <w:trHeight w:val="351"/>
        </w:trPr>
        <w:tc>
          <w:tcPr>
            <w:tcW w:w="10400" w:type="dxa"/>
            <w:vAlign w:val="bottom"/>
          </w:tcPr>
          <w:p>
            <w:pPr>
              <w:ind w:left="20"/>
              <w:spacing w:after="0"/>
              <w:rPr>
                <w:sz w:val="20"/>
                <w:szCs w:val="20"/>
                <w:color w:val="auto"/>
              </w:rPr>
            </w:pPr>
            <w:r>
              <w:rPr>
                <w:rFonts w:ascii="Arial" w:cs="Arial" w:eastAsia="Arial" w:hAnsi="Arial"/>
                <w:sz w:val="20"/>
                <w:szCs w:val="20"/>
                <w:color w:val="auto"/>
                <w:w w:val="91"/>
              </w:rPr>
              <w:t>Condensed Consolidated Statements of Operations and Comprehensive Loss for the six months ended June 30, 2023 and 2022</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2</w:t>
            </w:r>
          </w:p>
        </w:tc>
      </w:tr>
      <w:tr>
        <w:trPr>
          <w:trHeight w:val="351"/>
        </w:trPr>
        <w:tc>
          <w:tcPr>
            <w:tcW w:w="10400" w:type="dxa"/>
            <w:vAlign w:val="bottom"/>
          </w:tcPr>
          <w:p>
            <w:pPr>
              <w:ind w:left="20"/>
              <w:spacing w:after="0"/>
              <w:rPr>
                <w:sz w:val="20"/>
                <w:szCs w:val="20"/>
                <w:color w:val="auto"/>
              </w:rPr>
            </w:pPr>
            <w:r>
              <w:rPr>
                <w:rFonts w:ascii="Arial" w:cs="Arial" w:eastAsia="Arial" w:hAnsi="Arial"/>
                <w:sz w:val="20"/>
                <w:szCs w:val="20"/>
                <w:color w:val="auto"/>
              </w:rPr>
              <w:t>Condensed Consolidated Balance Sheets as of June 30, 2023 and December 31, 2022</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3</w:t>
            </w:r>
          </w:p>
        </w:tc>
      </w:tr>
      <w:tr>
        <w:trPr>
          <w:trHeight w:val="330"/>
        </w:trPr>
        <w:tc>
          <w:tcPr>
            <w:tcW w:w="10400" w:type="dxa"/>
            <w:vAlign w:val="bottom"/>
          </w:tcPr>
          <w:p>
            <w:pPr>
              <w:ind w:left="20"/>
              <w:spacing w:after="0"/>
              <w:rPr>
                <w:sz w:val="20"/>
                <w:szCs w:val="20"/>
                <w:color w:val="auto"/>
              </w:rPr>
            </w:pPr>
            <w:r>
              <w:rPr>
                <w:rFonts w:ascii="Arial" w:cs="Arial" w:eastAsia="Arial" w:hAnsi="Arial"/>
                <w:sz w:val="20"/>
                <w:szCs w:val="20"/>
                <w:color w:val="auto"/>
                <w:w w:val="90"/>
              </w:rPr>
              <w:t>Condensed Consolidated Statements of Redeemable Preferred Stock and Stockholders’ Equity for the six months ended June 30,</w:t>
            </w:r>
          </w:p>
        </w:tc>
        <w:tc>
          <w:tcPr>
            <w:tcW w:w="840" w:type="dxa"/>
            <w:vAlign w:val="bottom"/>
          </w:tcPr>
          <w:p>
            <w:pPr>
              <w:spacing w:after="0"/>
              <w:rPr>
                <w:sz w:val="24"/>
                <w:szCs w:val="24"/>
                <w:color w:val="auto"/>
              </w:rPr>
            </w:pPr>
          </w:p>
        </w:tc>
      </w:tr>
      <w:tr>
        <w:trPr>
          <w:trHeight w:val="250"/>
        </w:trPr>
        <w:tc>
          <w:tcPr>
            <w:tcW w:w="10400" w:type="dxa"/>
            <w:vAlign w:val="bottom"/>
          </w:tcPr>
          <w:p>
            <w:pPr>
              <w:ind w:left="360"/>
              <w:spacing w:after="0"/>
              <w:rPr>
                <w:sz w:val="20"/>
                <w:szCs w:val="20"/>
                <w:color w:val="auto"/>
              </w:rPr>
            </w:pPr>
            <w:r>
              <w:rPr>
                <w:rFonts w:ascii="Arial" w:cs="Arial" w:eastAsia="Arial" w:hAnsi="Arial"/>
                <w:sz w:val="20"/>
                <w:szCs w:val="20"/>
                <w:color w:val="auto"/>
              </w:rPr>
              <w:t>2023 and 2022</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4</w:t>
            </w:r>
          </w:p>
        </w:tc>
      </w:tr>
      <w:tr>
        <w:trPr>
          <w:trHeight w:val="351"/>
        </w:trPr>
        <w:tc>
          <w:tcPr>
            <w:tcW w:w="10400" w:type="dxa"/>
            <w:vAlign w:val="bottom"/>
          </w:tcPr>
          <w:p>
            <w:pPr>
              <w:ind w:left="20"/>
              <w:spacing w:after="0"/>
              <w:rPr>
                <w:sz w:val="20"/>
                <w:szCs w:val="20"/>
                <w:color w:val="auto"/>
              </w:rPr>
            </w:pPr>
            <w:r>
              <w:rPr>
                <w:rFonts w:ascii="Arial" w:cs="Arial" w:eastAsia="Arial" w:hAnsi="Arial"/>
                <w:sz w:val="20"/>
                <w:szCs w:val="20"/>
                <w:color w:val="auto"/>
              </w:rPr>
              <w:t>Condensed Consolidated Statements of Cash Flows for the six months ended June 30, 2023 and 2022</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6</w:t>
            </w:r>
          </w:p>
        </w:tc>
      </w:tr>
      <w:tr>
        <w:trPr>
          <w:trHeight w:val="351"/>
        </w:trPr>
        <w:tc>
          <w:tcPr>
            <w:tcW w:w="10400" w:type="dxa"/>
            <w:vAlign w:val="bottom"/>
          </w:tcPr>
          <w:p>
            <w:pPr>
              <w:ind w:left="20"/>
              <w:spacing w:after="0"/>
              <w:rPr>
                <w:sz w:val="20"/>
                <w:szCs w:val="20"/>
                <w:color w:val="auto"/>
              </w:rPr>
            </w:pPr>
            <w:r>
              <w:rPr>
                <w:rFonts w:ascii="Arial" w:cs="Arial" w:eastAsia="Arial" w:hAnsi="Arial"/>
                <w:sz w:val="20"/>
                <w:szCs w:val="20"/>
                <w:color w:val="auto"/>
              </w:rPr>
              <w:t>Notes to the Condensed Consolidated Financial Statements</w:t>
            </w: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7</w:t>
            </w:r>
          </w:p>
        </w:tc>
      </w:tr>
      <w:tr>
        <w:trPr>
          <w:trHeight w:val="931"/>
        </w:trPr>
        <w:tc>
          <w:tcPr>
            <w:tcW w:w="10400" w:type="dxa"/>
            <w:vAlign w:val="bottom"/>
          </w:tcPr>
          <w:p>
            <w:pPr>
              <w:ind w:left="5580"/>
              <w:spacing w:after="0"/>
              <w:rPr>
                <w:sz w:val="20"/>
                <w:szCs w:val="20"/>
                <w:color w:val="auto"/>
              </w:rPr>
            </w:pPr>
            <w:r>
              <w:rPr>
                <w:rFonts w:ascii="Arial" w:cs="Arial" w:eastAsia="Arial" w:hAnsi="Arial"/>
                <w:sz w:val="20"/>
                <w:szCs w:val="20"/>
                <w:color w:val="auto"/>
              </w:rPr>
              <w:t>1</w:t>
            </w:r>
          </w:p>
        </w:tc>
        <w:tc>
          <w:tcPr>
            <w:tcW w:w="840" w:type="dxa"/>
            <w:vAlign w:val="bottom"/>
          </w:tcPr>
          <w:p>
            <w:pPr>
              <w:spacing w:after="0"/>
              <w:rPr>
                <w:sz w:val="24"/>
                <w:szCs w:val="24"/>
                <w:color w:val="auto"/>
              </w:rPr>
            </w:pPr>
          </w:p>
        </w:tc>
      </w:tr>
      <w:tr>
        <w:trPr>
          <w:trHeight w:val="111"/>
        </w:trPr>
        <w:tc>
          <w:tcPr>
            <w:tcW w:w="104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CONDENSED CONSOLIDATED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share and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sales, exclusive of depreciation shown separately below</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24,609</w:t>
            </w: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6,485</w:t>
            </w:r>
          </w:p>
        </w:tc>
      </w:tr>
      <w:tr>
        <w:trPr>
          <w:trHeight w:val="246"/>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13,736</w:t>
            </w:r>
          </w:p>
        </w:tc>
      </w:tr>
      <w:tr>
        <w:trPr>
          <w:trHeight w:val="237"/>
        </w:trPr>
        <w:tc>
          <w:tcPr>
            <w:tcW w:w="81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39,495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51,875</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(36,311)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(49,487)</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net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income (expense),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Change in fair value of financial instruments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44,596</w:t>
            </w:r>
          </w:p>
        </w:tc>
      </w:tr>
      <w:tr>
        <w:trPr>
          <w:trHeight w:val="246"/>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37"/>
        </w:trPr>
        <w:tc>
          <w:tcPr>
            <w:tcW w:w="81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income (expense),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43,509</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(5,978)</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available to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gain (loss), net of tax</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(29,775)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share for the period attributable to common stockholders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Basic weighted-average common shares outstanding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89,326,172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62,094,383</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per share for the period attributable to common stockholders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89,326,172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63,505,040</w:t>
            </w: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share and per share amounts)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76,528</w:t>
            </w:r>
          </w:p>
        </w:tc>
        <w:tc>
          <w:tcPr>
            <w:tcW w:w="0" w:type="dxa"/>
            <w:vAlign w:val="bottom"/>
          </w:tcPr>
          <w:p>
            <w:pPr>
              <w:spacing w:after="0"/>
              <w:rPr>
                <w:sz w:val="1"/>
                <w:szCs w:val="1"/>
                <w:color w:val="auto"/>
              </w:rPr>
            </w:pP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 of allowance of $3,300 and $3,237, 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47,784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81,240</w:t>
            </w: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6,463</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108,895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143,855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REDEEMABLE PREFERRED STOCK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Warrant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Earnout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6,417</w:t>
            </w:r>
          </w:p>
        </w:tc>
        <w:tc>
          <w:tcPr>
            <w:tcW w:w="0" w:type="dxa"/>
            <w:vAlign w:val="bottom"/>
          </w:tcPr>
          <w:p>
            <w:pPr>
              <w:spacing w:after="0"/>
              <w:rPr>
                <w:sz w:val="1"/>
                <w:szCs w:val="1"/>
                <w:color w:val="auto"/>
              </w:rPr>
            </w:pPr>
          </w:p>
        </w:tc>
      </w:tr>
      <w:tr>
        <w:trPr>
          <w:trHeight w:val="233"/>
        </w:trPr>
        <w:tc>
          <w:tcPr>
            <w:tcW w:w="818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30,072</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29,650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37,657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$0.0001 par value</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Arial" w:cs="Arial" w:eastAsia="Arial" w:hAnsi="Arial"/>
                <w:sz w:val="16"/>
                <w:szCs w:val="16"/>
                <w:color w:val="auto"/>
                <w:w w:val="92"/>
              </w:rPr>
              <w:t>Common stock, $0.0001 par value, unlimited shares authorized; 76,078,888 Class A shares issued and outstanding; and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6"/>
                <w:szCs w:val="16"/>
                <w:color w:val="auto"/>
                <w:w w:val="97"/>
              </w:rPr>
              <w:t>13,582,642 Class B shares issued and outstanding as of June 30, 2023 and 75,612,795 Class A shares issued and</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outstanding and 13,582,642 Class B shares issued and outstanding as of December 31, 2022</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Treasury stock, at cost: 516,123 shares at June 30, 2023, and 516,123 shares at December 31, 2022</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0" w:type="dxa"/>
            <w:vAlign w:val="bottom"/>
          </w:tcPr>
          <w:p>
            <w:pPr>
              <w:spacing w:after="0"/>
              <w:rPr>
                <w:sz w:val="1"/>
                <w:szCs w:val="1"/>
                <w:color w:val="auto"/>
              </w:rPr>
            </w:pPr>
          </w:p>
        </w:tc>
      </w:tr>
      <w:tr>
        <w:trPr>
          <w:trHeight w:val="233"/>
        </w:trPr>
        <w:tc>
          <w:tcPr>
            <w:tcW w:w="81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337,928</w:t>
            </w:r>
          </w:p>
        </w:tc>
        <w:tc>
          <w:tcPr>
            <w:tcW w:w="0" w:type="dxa"/>
            <w:vAlign w:val="bottom"/>
          </w:tcPr>
          <w:p>
            <w:pPr>
              <w:spacing w:after="0"/>
              <w:rPr>
                <w:sz w:val="1"/>
                <w:szCs w:val="1"/>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(222,815)</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79,245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106,198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Total liabilities, redeemable preferred stock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108,895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143,855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CONSOLIDATED STATEMENTS OF REDEEMABLE PREFERRED STOCK AND STOCKHOLDERS’ EQUITY</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(in thousands of U.S. dollars, except share information)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1500" w:type="dxa"/>
            <w:vAlign w:val="bottom"/>
            <w:gridSpan w:val="4"/>
          </w:tcPr>
          <w:p>
            <w:pPr>
              <w:ind w:left="5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other</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Preferred</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paid-in</w:t>
            </w: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Treasury</w:t>
            </w: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comprehensive</w:t>
            </w:r>
          </w:p>
        </w:tc>
        <w:tc>
          <w:tcPr>
            <w:tcW w:w="92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w w:val="92"/>
              </w:rPr>
              <w:t>stockholders’</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15"/>
                <w:szCs w:val="15"/>
                <w:color w:val="auto"/>
              </w:rPr>
            </w:pPr>
          </w:p>
        </w:tc>
        <w:tc>
          <w:tcPr>
            <w:tcW w:w="740" w:type="dxa"/>
            <w:vAlign w:val="bottom"/>
            <w:gridSpan w:val="2"/>
          </w:tcPr>
          <w:p>
            <w:pPr>
              <w:ind w:left="180"/>
              <w:spacing w:after="0"/>
              <w:rPr>
                <w:sz w:val="20"/>
                <w:szCs w:val="20"/>
                <w:color w:val="auto"/>
              </w:rPr>
            </w:pPr>
            <w:r>
              <w:rPr>
                <w:rFonts w:ascii="Arial" w:cs="Arial" w:eastAsia="Arial" w:hAnsi="Arial"/>
                <w:sz w:val="13"/>
                <w:szCs w:val="13"/>
                <w:b w:val="1"/>
                <w:bCs w:val="1"/>
                <w:color w:val="auto"/>
              </w:rPr>
              <w:t>Stock</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8"/>
        </w:trPr>
        <w:tc>
          <w:tcPr>
            <w:tcW w:w="42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2022</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89,195,437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7"/>
              </w:rPr>
              <w:t>337,928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97"/>
              </w:rPr>
              <w:t>(8,603)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b w:val="1"/>
                <w:bCs w:val="1"/>
                <w:color w:val="auto"/>
                <w:w w:val="98"/>
              </w:rPr>
              <w:t>(312)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(222,815)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106,198</w:t>
            </w:r>
          </w:p>
        </w:tc>
        <w:tc>
          <w:tcPr>
            <w:tcW w:w="0" w:type="dxa"/>
            <w:vAlign w:val="bottom"/>
          </w:tcPr>
          <w:p>
            <w:pPr>
              <w:spacing w:after="0"/>
              <w:rPr>
                <w:sz w:val="1"/>
                <w:szCs w:val="1"/>
                <w:color w:val="auto"/>
              </w:rPr>
            </w:pPr>
          </w:p>
        </w:tc>
      </w:tr>
      <w:tr>
        <w:trPr>
          <w:trHeight w:val="188"/>
        </w:trPr>
        <w:tc>
          <w:tcPr>
            <w:tcW w:w="4280" w:type="dxa"/>
            <w:vAlign w:val="bottom"/>
          </w:tcPr>
          <w:p>
            <w:pPr>
              <w:ind w:left="180"/>
              <w:spacing w:after="0"/>
              <w:rPr>
                <w:sz w:val="20"/>
                <w:szCs w:val="20"/>
                <w:color w:val="auto"/>
              </w:rPr>
            </w:pPr>
            <w:r>
              <w:rPr>
                <w:rFonts w:ascii="Arial" w:cs="Arial" w:eastAsia="Arial" w:hAnsi="Arial"/>
                <w:sz w:val="13"/>
                <w:szCs w:val="13"/>
                <w:color w:val="auto"/>
              </w:rPr>
              <w:t>Net loss</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(29,851)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(29,851)</w:t>
            </w:r>
          </w:p>
        </w:tc>
        <w:tc>
          <w:tcPr>
            <w:tcW w:w="0" w:type="dxa"/>
            <w:vAlign w:val="bottom"/>
          </w:tcPr>
          <w:p>
            <w:pPr>
              <w:spacing w:after="0"/>
              <w:rPr>
                <w:sz w:val="1"/>
                <w:szCs w:val="1"/>
                <w:color w:val="auto"/>
              </w:rPr>
            </w:pPr>
          </w:p>
        </w:tc>
      </w:tr>
      <w:tr>
        <w:trPr>
          <w:trHeight w:val="28"/>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88"/>
        </w:trPr>
        <w:tc>
          <w:tcPr>
            <w:tcW w:w="42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105,681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8"/>
        </w:trPr>
        <w:tc>
          <w:tcPr>
            <w:tcW w:w="4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Withholding tax on stock-based compensation</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360,412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2,841</w:t>
            </w:r>
          </w:p>
        </w:tc>
        <w:tc>
          <w:tcPr>
            <w:tcW w:w="0" w:type="dxa"/>
            <w:vAlign w:val="bottom"/>
          </w:tcPr>
          <w:p>
            <w:pPr>
              <w:spacing w:after="0"/>
              <w:rPr>
                <w:sz w:val="1"/>
                <w:szCs w:val="1"/>
                <w:color w:val="auto"/>
              </w:rPr>
            </w:pPr>
          </w:p>
        </w:tc>
      </w:tr>
      <w:tr>
        <w:trPr>
          <w:trHeight w:val="28"/>
        </w:trPr>
        <w:tc>
          <w:tcPr>
            <w:tcW w:w="4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2023</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5"/>
              </w:rPr>
              <w:t>89,661,530</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7"/>
              </w:rPr>
              <w:t>340,750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w w:val="97"/>
              </w:rPr>
              <w:t>(8,603)</w:t>
            </w:r>
          </w:p>
        </w:tc>
        <w:tc>
          <w:tcPr>
            <w:tcW w:w="80" w:type="dxa"/>
            <w:vAlign w:val="bottom"/>
          </w:tcPr>
          <w:p>
            <w:pPr>
              <w:spacing w:after="0"/>
              <w:rPr>
                <w:sz w:val="18"/>
                <w:szCs w:val="18"/>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ind w:left="400"/>
              <w:spacing w:after="0"/>
              <w:rPr>
                <w:sz w:val="20"/>
                <w:szCs w:val="20"/>
                <w:color w:val="auto"/>
              </w:rPr>
            </w:pPr>
            <w:r>
              <w:rPr>
                <w:rFonts w:ascii="Arial" w:cs="Arial" w:eastAsia="Arial" w:hAnsi="Arial"/>
                <w:sz w:val="13"/>
                <w:szCs w:val="13"/>
                <w:b w:val="1"/>
                <w:bCs w:val="1"/>
                <w:color w:val="auto"/>
                <w:w w:val="98"/>
              </w:rPr>
              <w:t>(236)</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(252,666)</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79,245</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 Unaudited Condensed Consolidated Financial Statements.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CONSOLIDATED STATEMENTS OF REDEEMABLE PREFERRED STOCK AND STOCKHOLDERS’ EQUITY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thousands of U.S. dollars, except share information)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380" w:type="dxa"/>
            <w:vAlign w:val="bottom"/>
            <w:tcBorders>
              <w:right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w w:val="92"/>
              </w:rPr>
              <w:t>Redeemable Series X</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1380" w:type="dxa"/>
            <w:vAlign w:val="bottom"/>
            <w:tcBorders>
              <w:right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5"/>
                <w:szCs w:val="15"/>
                <w:color w:val="auto"/>
              </w:rPr>
            </w:pPr>
          </w:p>
        </w:tc>
        <w:tc>
          <w:tcPr>
            <w:tcW w:w="1500" w:type="dxa"/>
            <w:vAlign w:val="bottom"/>
            <w:gridSpan w:val="4"/>
          </w:tcPr>
          <w:p>
            <w:pPr>
              <w:ind w:left="5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Preferred</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paid-in</w:t>
            </w: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Treasury</w:t>
            </w: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5"/>
                <w:szCs w:val="15"/>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Stock</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Stock</w:t>
            </w:r>
          </w:p>
        </w:tc>
        <w:tc>
          <w:tcPr>
            <w:tcW w:w="18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loss</w:t>
            </w: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8"/>
        </w:trPr>
        <w:tc>
          <w:tcPr>
            <w:tcW w:w="4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2,033,230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$ 21,306</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4,611,985</w:t>
            </w:r>
          </w:p>
        </w:tc>
        <w:tc>
          <w:tcPr>
            <w:tcW w:w="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17,382,854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96,471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(170,949)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(186,174)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(260,738)</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Hannover Holdings Transaction (Note 11)</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(149,817)</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(51,700)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(5,853)</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Merger transaction and Reverse Recapitalization</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(4,462,168)</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22,630,545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3"/>
              </w:rPr>
              <w:t>(165,804)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170,949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178"/>
        </w:trPr>
        <w:tc>
          <w:tcPr>
            <w:tcW w:w="4100" w:type="dxa"/>
            <w:vAlign w:val="bottom"/>
          </w:tcPr>
          <w:p>
            <w:pPr>
              <w:ind w:left="180"/>
              <w:spacing w:after="0"/>
              <w:rPr>
                <w:sz w:val="20"/>
                <w:szCs w:val="20"/>
                <w:color w:val="auto"/>
              </w:rPr>
            </w:pPr>
            <w:r>
              <w:rPr>
                <w:rFonts w:ascii="Arial" w:cs="Arial" w:eastAsia="Arial" w:hAnsi="Arial"/>
                <w:sz w:val="13"/>
                <w:szCs w:val="13"/>
                <w:color w:val="auto"/>
                <w:w w:val="99"/>
              </w:rPr>
              <w:t>Issuance of Class A ordinary shares upon conversion of Convertible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Arial" w:cs="Arial" w:eastAsia="Arial" w:hAnsi="Arial"/>
                <w:sz w:val="13"/>
                <w:szCs w:val="13"/>
                <w:color w:val="auto"/>
              </w:rPr>
              <w:t>Notes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95"/>
              </w:rPr>
              <w:t>17,980,954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64,051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64,051</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Redeemable Series X preferred stock accrued dividends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100" w:type="dxa"/>
            <w:vAlign w:val="bottom"/>
          </w:tcPr>
          <w:p>
            <w:pPr>
              <w:ind w:left="180"/>
              <w:spacing w:after="0"/>
              <w:rPr>
                <w:sz w:val="20"/>
                <w:szCs w:val="20"/>
                <w:color w:val="auto"/>
              </w:rPr>
            </w:pPr>
            <w:r>
              <w:rPr>
                <w:rFonts w:ascii="Arial" w:cs="Arial" w:eastAsia="Arial" w:hAnsi="Arial"/>
                <w:sz w:val="13"/>
                <w:szCs w:val="13"/>
                <w:color w:val="auto"/>
              </w:rPr>
              <w:t>Conversion of redeemable Series X preferred stock and accrued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ind w:left="180"/>
              <w:spacing w:after="0"/>
              <w:rPr>
                <w:sz w:val="20"/>
                <w:szCs w:val="20"/>
                <w:color w:val="auto"/>
              </w:rPr>
            </w:pPr>
            <w:r>
              <w:rPr>
                <w:rFonts w:ascii="Arial" w:cs="Arial" w:eastAsia="Arial" w:hAnsi="Arial"/>
                <w:sz w:val="13"/>
                <w:szCs w:val="13"/>
                <w:color w:val="auto"/>
              </w:rPr>
              <w:t>dividends in connection with the Reverse Recapitalization</w:t>
            </w:r>
          </w:p>
        </w:tc>
        <w:tc>
          <w:tcPr>
            <w:tcW w:w="660" w:type="dxa"/>
            <w:vAlign w:val="bottom"/>
          </w:tcPr>
          <w:p>
            <w:pPr>
              <w:jc w:val="right"/>
              <w:spacing w:after="0"/>
              <w:rPr>
                <w:sz w:val="20"/>
                <w:szCs w:val="20"/>
                <w:color w:val="auto"/>
              </w:rPr>
            </w:pPr>
            <w:r>
              <w:rPr>
                <w:rFonts w:ascii="Arial" w:cs="Arial" w:eastAsia="Arial" w:hAnsi="Arial"/>
                <w:sz w:val="13"/>
                <w:szCs w:val="13"/>
                <w:color w:val="auto"/>
                <w:w w:val="93"/>
              </w:rPr>
              <w:t>(2,033,230)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(21,403)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2,140,340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21,403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21,403</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Reclassification of Columbia Warrant to equity</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124,805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124,805</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Repayment of Columbia Loan</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(3,418)</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Reclassification of Forfeiture Earnout Liability to equity</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w w:val="98"/>
              </w:rPr>
              <w:t>Issuance of Class A ordinary shares upon conversion of Cantor Loan</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788,021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7,880</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Class A ordinary shares in connection with Forward</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 Agreement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1,250,000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Issuance of Class A ordinary shares in connection with PIPE, net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6,108,332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47,430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47,430</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4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Class A ordinary shares in connection with Liberty</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Subscription Agreement, net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5"/>
              </w:rPr>
              <w:t>20,619,835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121,182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121,182</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Repurchase of shares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(516,123)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(2,750)</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Issuance of ordinary shares upon exercise of Public Warrants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613,111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5,628</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Net loss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(8,121)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(8,121)</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Issuance of additional shares related to Cantor Loan Earnout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26,050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28"/>
        </w:trPr>
        <w:tc>
          <w:tcPr>
            <w:tcW w:w="4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8"/>
        </w:trPr>
        <w:tc>
          <w:tcPr>
            <w:tcW w:w="410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4,485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4,485</w:t>
            </w:r>
          </w:p>
        </w:tc>
        <w:tc>
          <w:tcPr>
            <w:tcW w:w="0" w:type="dxa"/>
            <w:vAlign w:val="bottom"/>
          </w:tcPr>
          <w:p>
            <w:pPr>
              <w:spacing w:after="0"/>
              <w:rPr>
                <w:sz w:val="1"/>
                <w:szCs w:val="1"/>
                <w:color w:val="auto"/>
              </w:rPr>
            </w:pPr>
          </w:p>
        </w:tc>
      </w:tr>
      <w:tr>
        <w:trPr>
          <w:trHeight w:val="28"/>
        </w:trPr>
        <w:tc>
          <w:tcPr>
            <w:tcW w:w="4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2022</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8"/>
              </w:rPr>
              <w:t>88,994,146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335,306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(194,295)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132,000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accompanying notes are an integral part of the Unaudited Condensed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060" w:type="dxa"/>
            <w:vAlign w:val="bottom"/>
            <w:tcBorders>
              <w:bottom w:val="single" w:sz="8" w:color="auto"/>
            </w:tcBorders>
            <w:gridSpan w:val="5"/>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0"/>
              </w:rPr>
              <w:t>(29,851)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(8,121)</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Depreciation expense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6,485</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expense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Deferred tax expense</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2,143</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4,485</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1,685</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fair value of financial instruments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(44,596)</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Expenses related to Merger</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10,937</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exchange differences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Bad debt expense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Loss on equity-method investment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8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(1,647)</w:t>
            </w:r>
          </w:p>
        </w:tc>
      </w:tr>
      <w:tr>
        <w:trPr>
          <w:trHeight w:val="253"/>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33"/>
        </w:trPr>
        <w:tc>
          <w:tcPr>
            <w:tcW w:w="81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53"/>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r>
      <w:tr>
        <w:trPr>
          <w:trHeight w:val="233"/>
        </w:trPr>
        <w:tc>
          <w:tcPr>
            <w:tcW w:w="8180" w:type="dxa"/>
            <w:vAlign w:val="bottom"/>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(3,050)</w:t>
            </w:r>
          </w:p>
        </w:tc>
      </w:tr>
      <w:tr>
        <w:trPr>
          <w:trHeight w:val="246"/>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(26,313)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(34,487)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Acquisitions of property and equipment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(15,735)</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3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(9,928)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(15,682)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Repurchase of stock</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(8,603)</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withholding payments for vested equity-based compensation awards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Proceeds from exercise of Public Warrants</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5,292</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common stock</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167,504</w:t>
            </w:r>
          </w:p>
        </w:tc>
      </w:tr>
      <w:tr>
        <w:trPr>
          <w:trHeight w:val="236"/>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164,214</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(36,260)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114,045</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8,533</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124,300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Nature of the Business and Basis of Presentation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the Business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On January 25, 2022 (the “Closing Date”), Satellogic Inc. (“Satellogic” or the “Company”), a business company incorporated in the British Virgin Islands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wholly owned subsidiary of the Company, and Nettar.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Nettar was, prior to the transaction, the holding company of the Satellogic group and was incorporated on October 7, 2014 under the laws of the BVI as a company limited by shares. The registered office of Satellogic is located at Kingston Chambers BOX 173 C/O Maples Corporate Services BVI LTD Road Town, Tortola D8 VG1110.</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References to “Nettar” contained herein refer to Nettar Group Inc. prior to the mergers, and references to “the Company,” “we,” “our,” “us” or “Satellogic” refer to Satellogic Inc. prior to the mergers and to the combined company following the mergers.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accompanying unaudited interim condensed consolidated financial statements have been prepared in accordance with generally accepted accounting principles in the United States (“U.S. GAAP”) and the rules and regulations of the U.S. Securities and Exchange Commission (“SEC”). The Company conducts business through one operating segment.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accompanying Condensed Consolidated Financial Statements include our accounts and those of our wholly owned subsidiaries. All intercompany accounts and transactions have been eliminated in consolidation. The Condensed Consolidated Financial Statements are presented in United States dollars (hereinafter “U.S. dollars” or “$”).</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Emerging Growth Company</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grown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Going Concern and Liquidity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accompanying unaudited condensed consolidated financial statements have been prepared assuming we will continue as a going concern. The going concern basis of presentation assumes that we will continue in operation one year after the date these unaudited condensed consolidated financial statements are issued, and we will be able to realize its assets and discharge its liabilities and commitments in the normal course of business.</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Pursuant to the requirements of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evaluated whether there are any conditions and events, considered in the aggregate, that raise substantial doubt about our ability to continue as a going concern over the next twelve months through September 2024. Since inception, we have incurred significant operating losses and have an accumulated deficit of $252.7 million, with net cash used in operating activities of $26.3 million for the six months ended June 30, 2023. As of June 30, 2023, our existing sources of liquidity included cash and cash equivalents of $42.0 million. We believe that this current level of cash and cash equivalents are not sufficient to fund operations and capital expenditures to reach larger scale revenue generation from our product offerings.</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In order for us to proceed and reach larger scale revenue generation, we will need to raise additional funds through the issuance of additional equity, debt or both. Until such time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 In an effort to alleviate these conditions, we continue to seek and evaluate opportunities to raise additional capital through the issuance of equity or debt securities.</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a result of these uncertainties, and notwithstanding our plans and efforts to date, there is substantial doubt about our ability to continue as a going concern for one year from the date of when these condensed consolidated interim financial statements are issued. 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Use of Estimates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preparation of the Condensed Consolidated Financial Statements in conformity with U.S. GAAP requires management to make estimates and assumptions that affect the reported amounts of assets and liabilities, the disclosure of contingent liabilities at the date of the financial statements, and the reported amounts of revenue and expenses during the reporting period. Significant estimates and assumptions reflected in these Condensed Consolidated Financial Statements include, but are not limited to, revenue recognition; determination of useful lives of property and equipment; valuation of warrant liabilities, earnout liabilities, stock options; and determination of income tax. We evaluate our estimates and assumptions on an ongoing basis. Actual results could differ from those estimates and such differences may be material to the Condensed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 xml:space="preserve">We recognize revenue in accordance with Topic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Revenue is recognized when a customer obtains control of promised goods or services. In addition, the standard requires disclosure of the nature, amount, timing, and uncertainty of revenue and cash flows arising from contracts with customers. The amount of revenue that is recorded reflects the consideration that we expect to receive in exchange for goods or services provided under such contracts.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main revenue stream is from services. We recognize as revenues, the amount of the transaction price that is allocated to the respective performance obligation when or as the performance obligation is satisfied. Revenue is recognized ratably over the subscription period or at the point in time upon delivery. Our satellite imagery can be delivered to customers in two ways: either by providing access via our platform or via electronic delivery.</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The nature of our contracts does not currently give rise to variable consideration related to returns or refunds as those are not offered.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We evaluate contracts with a minimum purchase commitment to determine whether we expect to be entitled to a breakage amount. We consider the requirements on constraining estimates variable consideration. The following factors are evaluated when assessing the increased likelihood of a significant revenue reversal: (i) the amount of consideration is highly susceptible to factors outside our influence or control (e.g., volatility in a market, judgment of action of third parties, weather conditions), (ii) uncertainty about the amount of consideration is not expected to be resolved for a long period of time, (iii) our experience with similar types of contracts is limited, or that experience has limited predictive value, (iv) we have a practice of either offering a broad range of price concessions or changing the payment terms and conditions of similar contracts in similar circumstances, and (v) the contract has a large number and broad range of possible consideration amounts.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We exclude amounts collected on behalf of third parties, such as sales taxes, when determining transaction price.</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Contract liabilities consist of payments received from customers, or such consideration that is contractually due, in advance of providing the product or performing services.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generally do not enter into long-term financing arrangements or payment plans with customers. Although our business practice is not to enter into contracts with non-cash consideration, at times this may occur. In these instances, we determine the fair value of the non-cash consideration at contract inception and includes this value as part of the total arrangement consideration. In instances where we cannot reasonably estimate the fair value of the non-cash consideration, we will measure the consideration indirectly by reference to its stand-alone selling price of the goods promised to the customer in exchange for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Certain assets and liabilities are carried at fair value in accordance with U.S. GAAP.</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Valuation techniques used to measure fair value requires us to utilize observable and unobservable inputs. The hierarchy gives the highest priority to quoted prices in active markets for identical assets or liabilities (Level 1 measurements) and the lowest priority to unobservable inputs (Level 3 measurements). Financial instruments carried at fair value are to be classified and disclosed in one of the following three levels of the fair value hierarchy, of which the first two are considered observable and the last is considered unobservable:</w:t>
      </w:r>
    </w:p>
    <w:p>
      <w:pPr>
        <w:spacing w:after="0" w:line="15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Level 1: Quoted prices in active markets for identical assets or liabilities.</w:t>
      </w:r>
    </w:p>
    <w:p>
      <w:pPr>
        <w:spacing w:after="0" w:line="229"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Level 2: Valuation techniques for which the lowest level input that is significant to the fair value measurement is directly or indirectly observable.</w:t>
      </w:r>
    </w:p>
    <w:p>
      <w:pPr>
        <w:spacing w:after="0" w:line="163"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Level 3: Valuation techniques for which the lowest level input that is significant to the fair value measurement is unobservable.</w:t>
      </w: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Assets and liabilities recognized at fair value on a recurring basis in the Condensed Consolidated Financial Statements are re-assessed at the end of each reporting period to determine whether any transfers have occurred between levels in the hierarchy.</w:t>
      </w:r>
    </w:p>
    <w:p>
      <w:pPr>
        <w:spacing w:after="0" w:line="166"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For fair value disclosures, classes of assets and liabilities are based on the nature, characteristics and risks of the asset or liability and the level of the fair value hierarchy.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risk management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Credit risk is the risk that a counterparty fails to discharge an obligation to us. We are exposed to credit risk from financial assets including cash, cash equivalents and restricted cash held at banks, trade and other receivables.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9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credit risk in respect of cash balances held with banks and deposits with banks are managed via diversification of bank deposits and are only with major reputable financial institutions.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our risk exposure is mainly influenced by the individual characteristics of each customer, we continuously analyze the creditworthiness of significant debtors. Accounts receivable are non-interest bearing and generally on terms of 30 to 90 days. As of June 30, 2023 two customers, accounted for 84% of accounts receivable, net of allowance. As of December 31, 2022, one customer accounted for 72% of our accounts receivable net of allowance.</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Two customers each accounted for more than 10% of our revenue totaling $2.6 million for the six months ended June 30, 2023 and $2.0 million for the six months ended June 30, 2022.</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contracts with certain third-party service providers to launch satellites and others for cloud-based computing infrastructure. Service providers who provide these services are limited. The inability of launch service providers and cloud based computing providers to perform under their contracts with the Company could materially impact future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June 30, 2023 due to our net loss for the period and concluded that the asset group is not impaired.</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22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Condensed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Investments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account for equity investments in which we have significant influence, but not a controlling financial interest, using the equity method of accounting. Under the equity method of accounting, investments are initially recorded at cost, less impairment, and subsequently adjusted to recognize our share of earnings or losses as a component of Other income (expense), net in the Condensed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and Comprehensive Loss. Our equity method investments are required to be reviewed for impairment when it is determined there may be an other-than-temporary loss in value. We have not recorded any impairment losses related to our equity method investments during the period ended June 30, 2023.</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w:t>
      </w:r>
    </w:p>
    <w:p>
      <w:pPr>
        <w:spacing w:after="0" w:line="243"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color w:val="auto"/>
        </w:rPr>
        <w:t>We measure and recognize all stock-based compensation expense based on estimated fair values for all stock-based awards made to employees and non-employees. Compensation cost is recognized over the requisite service period for each separate tranche, as though each tranche of the award is, in substance, a separate award. The expense calculation includes estimated forfeiture rates, which have been developed based upon historical experience.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for stock options are calculated using the Black-Scholes option pricing model using the following inputs: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Expected term - The simplified method is used to calculate the expected term.</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Expected volatility - We determine the expected stock price volatility based on the historical volatilities of guideline companies from comparable industries.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Expected dividend yield - We do not use a dividend rate due to the fact that we have never declared or paid cash dividends on the Company’s common stock and we do not anticipate doing so in the foreseeable future.</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Risk-free interest rate - We base our interest rate on a treasury instrument for which the term is commensurate with the maximum expected life of the stock options.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 values for restricted stock units ("RSUs") with service-based vesting conditions are calculated based upon our closing stock price on the date of the grant.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Currencies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financial position and results of operations of certain of our foreign subsidiaries are measured using the local currency as the functional currency. Revenues and expenses of these subsidiaries have been translated into U.S. dollars at average exchange rates prevailing during the period. Assets and liabilities of these subsidiaries have been translated at the exchange rates as of the balance sheet date. Translation gains and losses are recorded in accumulated other comprehensive loss.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Aggregate foreign currency gains and losses, such as those resulting from the settlement of receivables or payables, foreign currency contracts and short-term intercompany advances in a currency other than the relevant subsidiary’s functional currency, are recorded currently in the Condensed Consolidated Statements of Operations and Comprehensive Loss (included in other income, net) and resulted in gains of $2.0 million and $0.5 million during the six-month periods ended June 30,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determines if a contract is a lease or contains a lease at inception. On the lease commencement date, we recognize a right-of-use (“ROU”) asset and lease liability related to operating type leases. The cost of ROU assets includes the amount of lease liabilities recognized, initial direct costs incurred, and lease payments made at or before the commencement date less any lease incentives received. Operating lease liabilities are recorded based on the present value of the future lease fixed payments. In determining the present value of future lease payments, we use our incremental borrowing rate applicable to the economic environment and the duration of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lease based on the information available at the commencement date as the majority of leases do not provide an implicit rate. For real estate and equipment contracts, we generally account for the lease and non-lease components as a single lease component. In assessing the lease term, we include options to renew only when we are reasonably certain that such option(s) will be exercised; a determination which is at our sole discretion. Variable lease payments are recognized as expenses in the period incurred. For leases with an initial term of 12 months or less, we have elected to not record an ROU asset and lease liability. We record lease expense on a straight-line basis over the shorter of the lease term and estimated useful lives of the assets, beginning on the commencement date.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remeasure and reallocate the consideration in a lease when there is a modification of the lease that is not accounted for as a separate contract. The lease liability is remeasured when there is a change in the lease term or in the assessment of whether we will exercise a lease option. We assess ROU assets for impairment in accordance with our long-lived asset impairment policy.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account for lease agreements with contractually required lease and non-lease components on a combined basis. Lease payments made for cancellable leases, variable amounts that are not based on an observable index and lease agreements with an original duration of less than 12 months are recorded directly to lease expense.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For the periods presented, the Company does not have any financing type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the six months ended June 30, 2023 and 2022, lease expense was $1.3 million and $0.9 million, respectively. Lease obligations and right of use assets increased as of June 30, 2023 compared to December 31, 2022 due primarily to inflation adjustments to lease payments in certain facility leases, which were accounted for as lease modifications in the six months ended June 30,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 and Allowance for Doubtful Accounts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Trade accounts receivable are stated at the amount owed by the customer, net of allowances for estimated doubtful accounts, discounts, returns and rebates. We measure the allowance for doubtful accounts based on the estimated loss.</w:t>
      </w:r>
    </w:p>
    <w:p>
      <w:pPr>
        <w:spacing w:after="0" w:line="16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calculating an allowance for doubtful accounts, we use our historical experience, external indicators and an aging method. We assess impairment of trade accounts receivable on a collective basis as they possess shared credit risk characteristics, which have been grouped based on customer industry type. The Company also considers account size in its groupings and the days past due in its analysis.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Accounts are written off against the allowance account when they are determined to be no longer collectible. The following table shows the activity in the allowance for doubtful accounts for the six months ended June 30,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25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0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doubtful accounts as of beginning of period</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r>
      <w:tr>
        <w:trPr>
          <w:trHeight w:val="237"/>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Provision</w:t>
            </w: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w:t>
            </w:r>
          </w:p>
        </w:tc>
      </w:tr>
      <w:tr>
        <w:trPr>
          <w:trHeight w:val="26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Allowance for doubtful accounts as of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3,250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Cash Equivalents and Restricted Cash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Cash and cash equivalents include deposits in banks and short-term (original maturities of three months or less at the time of purchase), highly liquid investments that are readily convertible to known amounts of cash with a maturity of three months or less at the time of purchase.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86"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color w:val="auto"/>
        </w:rPr>
        <w:t>Restricted cash, including amounts in Other non-current assets, represents amounts pledged as guarantees for sales and lease agreements as contractually required.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r>
      <w:tr>
        <w:trPr>
          <w:trHeight w:val="223"/>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41,978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76,528</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non-current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43,126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 Information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Income tax, net of refunds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Accounting Standards Updates (“ASU”)</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Standard Recently Adopted</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In June 2016, the FASB issued ASU No. 2016-13, Credit Losses - Measurement of Credit Losses on Financial Instruments (“ASU 2016-13”). ASU 2016-13 requires entities to use a forward-looking approach based on current expected credit losses to estimate credit losses on certain types of financial instruments, including trade receivables, resulting in an earlier recognition of losses than under the current incurred loss approach, which requires waiting to recognize a loss until it is probable of being incurred. We adopted this guidance as of January 1, 2023. The impact of adopting this new guidance was not material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Reverse Recapitalization</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On January 25, 2022 and pursuant to the Merger Agreement, the merger between the Company and CF V (the “Merger”) was accounted for as a reverse recapitalization in accordance with U.S. GAAP. Under this method of accounting, CF V was treated as the “acquired” company and Satellogic was treated as the acquirer for financial reporting purposes. Accordingly, for accounting purposes, the reverse recapitalization was treated as the equivalent of the Company issuing stock for the net assets of CF V, accompanied by a recapitalization. The net assets of CF V were stated at historical cost, with no goodwill or other intangible assets recorded. Operations prior to the Merger represent those of the Company.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transaction resulted in net cash proceeds of $168 million, after transaction expenses and debt repayment, through the contribution of cash held in CF V’s trust account, net of redemptions by CF V’s public stockholders, and a concurrent private placement offering led by SoftBank’s SBLA Advisers Corp. and Cantor Fitzgerald &amp; Co. (“CF&amp;Co.”), among other institutional investors, and the Liberty Investment, as defined and described further below.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On the Closing Date, the Company consummated the Merger contemplated by the Merger Agreement, including the following: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Private Placement (“PIPE”) Investment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Pursuant to the relevant subscription agreement, the Company issued 5,816,770 Class A ordinary shares and a non-redeemable warrant (“PIPE Warrant”) to purchase 2,500,000 Class A ordinary shares to a PIPE investor at an exercise price of $20.00 per share, for an aggregate purchase price of $58.2 million.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Forward Purchase Agreement</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July 2021, CFAC Holdings V, LLC (the “Sponsor”), CF V, and Satellogic entered into the Amended and Restated Forward Purchase Agreement (“FPA”), pursuant to which Satellogic issued to the Sponsor 1,250,000 Class A ordinary shares, and warrants to purchase an additional 333,333 Class A ordinary shares at an exercise price of $11.50 per share (“Forward Purchase Warrant”), for an aggregate purchase price of $10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Cantor Loan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Satellogic and Cantor Fitzgerald Securities (“CF Securities”) entered into a Secured Promissory Note, dated December 23, 2021 (the “Promissory Note”), pursuant to which CF Securities agreed to loan $7.5 million to Satellogic (the “Cantor Loan”). On January 18, 2022, CF Securities, Satellogic and Nettar entered into the Promissory Note Waiver Letter (the “Promissory Note Waiver Letter”) pursuant to which Satellogic and CF Securities agreed that the Company would repay the Cantor Loan, including all principal and interest by the issuance of 788,021 Class A ordinary shares. Such repayment occurred on the Closing Date.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Redeemable Series X Preferred Stock</w:t>
      </w:r>
    </w:p>
    <w:p>
      <w:pPr>
        <w:spacing w:after="0" w:line="216"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Per the transaction, the 2,033,230 outstanding shares of redeemable Series X preferred stock and accrued dividends in the combined amount of $21.4 million were converted to 2,140,340 shares of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Liberty Investment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January 18, 2022, Satellogic and CF V entered into the Liberty Subscription Agreement with an investor (the “Liberty Investor”). Satellogic agreed to issue and sell to the Liberty Investor (i) 20,000,000 shares of Class A ordinary shares, (ii) a warrant to purchase up to 5,000,000 of Satellogic’s Class A ordinary shares at an exercise price of $10.00 per share (the “$10.00 Liberty Warrant”), and (iii) a warrant to purchase up to 15,000,000 of Satellogic’s Class A ordinary shares at an exercise price of $15.00 per share (the “$15.00 Liberty Warrant,” and together with the $10.00 Liberty Warrant, the “Liberty Warrants”), in a private placement for an aggregate purchase price of $150.0 million. The transaction closed on February 10, 2022 (the “Liberty Closing” and the transaction collectively, the “Liberty Investment”).</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An advisory fee is payable by Satellogic in exchange for advisory services to be provided to Satellogic from time to time until a Cessation Event (as defined in the Liberty Subscription Agreement). The advisory fee includes a warrant to purchase 2,500,000 of Satellogic’s Class A ordinary shares at an exercise price of $10.00 per share (the “Liberty Advisory Fee Warrant”), which was issued at the Liberty Closing, and for so long as a Cessation Event has not occurred, $1.25 million to be paid in cash on the 18-month anniversary of the Liberty Closing and on the last day (or, if not a business day, the immediately following business day) of each of the following five successive three-month anniversaries of such 18-month anniversary (each, an “Advisory Fee Cash Payment” and together, the “Advisory Fee Cash Payments”), representing an aggregate of up to $7.5 million in Advisory Fee Cash Payments.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Liberty Advisory Fee Warrant became exercisable as of and from February 10, 2023, and will expire on the fifth anniversary of the Liberty Closing (i.e., February 10, 2027). The Liberty Advisory Fee Warrant is subject to substantially the same terms as the Liberty Warrants.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 Fees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January 18, 2022, CF V, the Company and CF&amp;Co. entered into the CF Fee Letter, pursuant to which they agreed to pay cash of $5.0 million and issue an aggregate of 2,058,229 of Satellogic’s Class A ordinary shares in payment of certain Merger-related transaction fees. Such payments were made on the Closing Date.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Company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Merger Transaction:</w:t>
      </w:r>
    </w:p>
    <w:p>
      <w:pPr>
        <w:spacing w:after="0" w:line="229" w:lineRule="exact"/>
        <w:rPr>
          <w:sz w:val="20"/>
          <w:szCs w:val="20"/>
          <w:color w:val="auto"/>
        </w:rPr>
      </w:pPr>
    </w:p>
    <w:p>
      <w:pPr>
        <w:jc w:val="both"/>
        <w:ind w:left="660" w:hanging="328"/>
        <w:spacing w:after="0" w:line="25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ordinary shares and preferred shares of Nettar that were issued and outstanding immediately prior to the Merger were automatically cancelled and ceased to exist in exchange for Satellogic’s Class A ordinary shares, as determined in accordance with the Merger Agreement;</w:t>
      </w:r>
    </w:p>
    <w:p>
      <w:pPr>
        <w:spacing w:after="0" w:line="19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all Convertible Notes of Nettar converted into Nettar Preferred Shares which were exchanged for shares of Satellogic’s Class A ordinary shares as determined in the Merger Agreement;</w:t>
      </w:r>
    </w:p>
    <w:p>
      <w:pPr>
        <w:spacing w:after="0" w:line="190"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all options to purchase ordinary shares of Nettar were assumed by the Company and became options to purchase Satellogic’s Class A ordinary shares as determined in accordance with the Merger Agreement;</w:t>
      </w:r>
    </w:p>
    <w:p>
      <w:pPr>
        <w:spacing w:after="0" w:line="190"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Columbia Warrant (as defined below) outstanding immediately prior to the Merger became exercisable for that number of Satellogic’s Class A ordinary shares as determined in accordance with the Merger Agreement.</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following table illustrates the shares issued to our stockholders after giving effect to the 3.3028 Exchange Ratio in accordance with the transactions contemplated by the Merger Agreement as of the Closing Date and the issuance of shares pursuant to the transactions described above: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Company stockholders</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Shares</w:t>
            </w:r>
          </w:p>
        </w:tc>
      </w:tr>
      <w:tr>
        <w:trPr>
          <w:trHeight w:val="24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stockholders immediately prior to merger</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17,215,336</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Series A preferred stockholders</w:t>
            </w:r>
          </w:p>
        </w:tc>
        <w:tc>
          <w:tcPr>
            <w:tcW w:w="1480" w:type="dxa"/>
            <w:vAlign w:val="bottom"/>
          </w:tcPr>
          <w:p>
            <w:pPr>
              <w:jc w:val="right"/>
              <w:spacing w:after="0"/>
              <w:rPr>
                <w:sz w:val="20"/>
                <w:szCs w:val="20"/>
                <w:color w:val="auto"/>
              </w:rPr>
            </w:pPr>
            <w:r>
              <w:rPr>
                <w:rFonts w:ascii="Arial" w:cs="Arial" w:eastAsia="Arial" w:hAnsi="Arial"/>
                <w:sz w:val="16"/>
                <w:szCs w:val="16"/>
                <w:color w:val="auto"/>
              </w:rPr>
              <w:t>7,968,316</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stockholders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4,597,928</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Series B-1 preferred stockholders</w:t>
            </w:r>
          </w:p>
        </w:tc>
        <w:tc>
          <w:tcPr>
            <w:tcW w:w="1480" w:type="dxa"/>
            <w:vAlign w:val="bottom"/>
          </w:tcPr>
          <w:p>
            <w:pPr>
              <w:jc w:val="right"/>
              <w:spacing w:after="0"/>
              <w:rPr>
                <w:sz w:val="20"/>
                <w:szCs w:val="20"/>
                <w:color w:val="auto"/>
              </w:rPr>
            </w:pPr>
            <w:r>
              <w:rPr>
                <w:rFonts w:ascii="Arial" w:cs="Arial" w:eastAsia="Arial" w:hAnsi="Arial"/>
                <w:sz w:val="16"/>
                <w:szCs w:val="16"/>
                <w:color w:val="auto"/>
              </w:rPr>
              <w:t>2,171,399</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 convertible noteholders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5,581,416</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2019 convertible noteholders</w:t>
            </w:r>
          </w:p>
        </w:tc>
        <w:tc>
          <w:tcPr>
            <w:tcW w:w="1480" w:type="dxa"/>
            <w:vAlign w:val="bottom"/>
          </w:tcPr>
          <w:p>
            <w:pPr>
              <w:jc w:val="right"/>
              <w:spacing w:after="0"/>
              <w:rPr>
                <w:sz w:val="20"/>
                <w:szCs w:val="20"/>
                <w:color w:val="auto"/>
              </w:rPr>
            </w:pPr>
            <w:r>
              <w:rPr>
                <w:rFonts w:ascii="Arial" w:cs="Arial" w:eastAsia="Arial" w:hAnsi="Arial"/>
                <w:sz w:val="16"/>
                <w:szCs w:val="16"/>
                <w:color w:val="auto"/>
              </w:rPr>
              <w:t>7,846,333</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convertible noteholders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4,553,205</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Redeemable Series X preferred stockholders</w:t>
            </w:r>
          </w:p>
        </w:tc>
        <w:tc>
          <w:tcPr>
            <w:tcW w:w="1480" w:type="dxa"/>
            <w:vAlign w:val="bottom"/>
          </w:tcPr>
          <w:p>
            <w:pPr>
              <w:jc w:val="right"/>
              <w:spacing w:after="0"/>
              <w:rPr>
                <w:sz w:val="20"/>
                <w:szCs w:val="20"/>
                <w:color w:val="auto"/>
              </w:rPr>
            </w:pPr>
            <w:r>
              <w:rPr>
                <w:rFonts w:ascii="Arial" w:cs="Arial" w:eastAsia="Arial" w:hAnsi="Arial"/>
                <w:sz w:val="16"/>
                <w:szCs w:val="16"/>
                <w:color w:val="auto"/>
              </w:rPr>
              <w:t>2,140,340</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 investors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20,000,000</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PIPE investors</w:t>
            </w:r>
          </w:p>
        </w:tc>
        <w:tc>
          <w:tcPr>
            <w:tcW w:w="1480" w:type="dxa"/>
            <w:vAlign w:val="bottom"/>
          </w:tcPr>
          <w:p>
            <w:pPr>
              <w:jc w:val="right"/>
              <w:spacing w:after="0"/>
              <w:rPr>
                <w:sz w:val="20"/>
                <w:szCs w:val="20"/>
                <w:color w:val="auto"/>
              </w:rPr>
            </w:pPr>
            <w:r>
              <w:rPr>
                <w:rFonts w:ascii="Arial" w:cs="Arial" w:eastAsia="Arial" w:hAnsi="Arial"/>
                <w:sz w:val="16"/>
                <w:szCs w:val="16"/>
                <w:color w:val="auto"/>
              </w:rPr>
              <w:t>5,816,770</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for Cantor loan repayment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788,021</w:t>
            </w:r>
          </w:p>
        </w:tc>
      </w:tr>
      <w:tr>
        <w:trPr>
          <w:trHeight w:val="233"/>
        </w:trPr>
        <w:tc>
          <w:tcPr>
            <w:tcW w:w="9760" w:type="dxa"/>
            <w:vAlign w:val="bottom"/>
          </w:tcPr>
          <w:p>
            <w:pPr>
              <w:ind w:left="20"/>
              <w:spacing w:after="0"/>
              <w:rPr>
                <w:sz w:val="20"/>
                <w:szCs w:val="20"/>
                <w:color w:val="auto"/>
              </w:rPr>
            </w:pPr>
            <w:r>
              <w:rPr>
                <w:rFonts w:ascii="Arial" w:cs="Arial" w:eastAsia="Arial" w:hAnsi="Arial"/>
                <w:sz w:val="16"/>
                <w:szCs w:val="16"/>
                <w:color w:val="auto"/>
              </w:rPr>
              <w:t>Shares issued to Sponsor under Forward Purchase Securities Agreement</w:t>
            </w:r>
          </w:p>
        </w:tc>
        <w:tc>
          <w:tcPr>
            <w:tcW w:w="1480" w:type="dxa"/>
            <w:vAlign w:val="bottom"/>
          </w:tcPr>
          <w:p>
            <w:pPr>
              <w:jc w:val="right"/>
              <w:spacing w:after="0"/>
              <w:rPr>
                <w:sz w:val="20"/>
                <w:szCs w:val="20"/>
                <w:color w:val="auto"/>
              </w:rPr>
            </w:pPr>
            <w:r>
              <w:rPr>
                <w:rFonts w:ascii="Arial" w:cs="Arial" w:eastAsia="Arial" w:hAnsi="Arial"/>
                <w:sz w:val="16"/>
                <w:szCs w:val="16"/>
                <w:color w:val="auto"/>
              </w:rPr>
              <w:t>1,250,000</w:t>
            </w:r>
          </w:p>
        </w:tc>
      </w:tr>
      <w:tr>
        <w:trPr>
          <w:trHeight w:val="253"/>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shares for transaction fees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2,058,229</w:t>
            </w:r>
          </w:p>
        </w:tc>
      </w:tr>
      <w:tr>
        <w:trPr>
          <w:trHeight w:val="236"/>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CF V shares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6,837,354</w:t>
            </w:r>
          </w:p>
        </w:tc>
      </w:tr>
      <w:tr>
        <w:trPr>
          <w:trHeight w:val="261"/>
        </w:trPr>
        <w:tc>
          <w:tcPr>
            <w:tcW w:w="97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88,824,647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 from Contracts with Customers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and 2022, the Company recognized revenue of $3.2 million and $2.4 million as described below:</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timing</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Over time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1,524</w:t>
            </w:r>
          </w:p>
        </w:tc>
      </w:tr>
      <w:tr>
        <w:trPr>
          <w:trHeight w:val="24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Point-in time</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8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3,184</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2,388</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Information about the Company’s revenue by geography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 w:type="dxa"/>
            <w:vAlign w:val="bottom"/>
            <w:tcBorders>
              <w:bottom w:val="single" w:sz="8" w:color="CCEEFF"/>
            </w:tcBorders>
          </w:tcPr>
          <w:p>
            <w:pPr>
              <w:spacing w:after="0"/>
              <w:rPr>
                <w:sz w:val="20"/>
                <w:szCs w:val="20"/>
                <w:color w:val="auto"/>
              </w:rPr>
            </w:pPr>
          </w:p>
        </w:tc>
        <w:tc>
          <w:tcPr>
            <w:tcW w:w="79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6"/>
                <w:szCs w:val="16"/>
                <w:b w:val="1"/>
                <w:bCs w:val="1"/>
                <w:color w:val="auto"/>
              </w:rPr>
              <w:t xml:space="preserve">Revenue by geography </w:t>
            </w:r>
            <w:r>
              <w:rPr>
                <w:rFonts w:ascii="Arial" w:cs="Arial" w:eastAsia="Arial" w:hAnsi="Arial"/>
                <w:sz w:val="21"/>
                <w:szCs w:val="21"/>
                <w:b w:val="1"/>
                <w:bCs w:val="1"/>
                <w:color w:val="auto"/>
                <w:vertAlign w:val="superscript"/>
              </w:rPr>
              <w:t>(1)</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Asia Pacific</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5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North America</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4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South America</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3,184</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2,388</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1"/>
                <w:szCs w:val="11"/>
                <w:color w:val="auto"/>
              </w:rPr>
              <w:t>(1)</w:t>
            </w:r>
          </w:p>
        </w:tc>
        <w:tc>
          <w:tcPr>
            <w:tcW w:w="7960" w:type="dxa"/>
            <w:vAlign w:val="bottom"/>
            <w:vMerge w:val="restart"/>
          </w:tcPr>
          <w:p>
            <w:pPr>
              <w:ind w:left="100"/>
              <w:spacing w:after="0"/>
              <w:rPr>
                <w:sz w:val="20"/>
                <w:szCs w:val="20"/>
                <w:color w:val="auto"/>
              </w:rPr>
            </w:pPr>
            <w:r>
              <w:rPr>
                <w:rFonts w:ascii="Arial" w:cs="Arial" w:eastAsia="Arial" w:hAnsi="Arial"/>
                <w:sz w:val="16"/>
                <w:szCs w:val="16"/>
                <w:color w:val="auto"/>
              </w:rPr>
              <w:t>Revenue by geography is based on the geographical location of the customer.</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9"/>
        </w:trPr>
        <w:tc>
          <w:tcPr>
            <w:tcW w:w="22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20" w:type="dxa"/>
            <w:vAlign w:val="bottom"/>
          </w:tcPr>
          <w:p>
            <w:pPr>
              <w:spacing w:after="0"/>
              <w:rPr>
                <w:sz w:val="6"/>
                <w:szCs w:val="6"/>
                <w:color w:val="auto"/>
              </w:rPr>
            </w:pPr>
          </w:p>
        </w:tc>
        <w:tc>
          <w:tcPr>
            <w:tcW w:w="79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liabilities and Remaining Performance Obligations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Our contract liabilities consist of payments received from customers, or such consideration contractually due, in advance of providing the relevant satellite imagery or related service. Amounts included in Contract liabilities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2,300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r>
      <w:tr>
        <w:trPr>
          <w:trHeight w:val="26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3,300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six months ended June 30, 2023, we recognized revenue of $0.1 million that was included as a Contract liability as of December 31, 2022. During the six months ended June 30, 2022, we recognized revenue of $0.5 million that was included as a Contract liability as of December 31, 2021.</w:t>
      </w:r>
    </w:p>
    <w:p>
      <w:pPr>
        <w:spacing w:after="0" w:line="19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 contract’s transaction price is allocated to each distinct performance obligation and recognized as revenue when, or as, the performance obligation is satisfied. The following table represents the total transaction price for the remaining performance obligations as of June 30, 2023 related to non-cancellable contracts longer than 12-months in duration that is expected to be recognized over future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Within 1 Year</w:t>
            </w: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 1-2</w:t>
            </w: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 2-3</w:t>
            </w:r>
          </w:p>
        </w:tc>
        <w:tc>
          <w:tcPr>
            <w:tcW w:w="22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6"/>
                <w:szCs w:val="16"/>
                <w:b w:val="1"/>
                <w:bCs w:val="1"/>
                <w:color w:val="auto"/>
              </w:rPr>
              <w:t>Thereafter</w:t>
            </w:r>
          </w:p>
        </w:tc>
      </w:tr>
      <w:tr>
        <w:trPr>
          <w:trHeight w:val="24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performance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11,889</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Warrant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Liberty Warrants and</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Liberty Advisory Fee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Warrant</w:t>
            </w: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PIPE Warrant</w:t>
            </w:r>
          </w:p>
        </w:tc>
        <w:tc>
          <w:tcPr>
            <w:tcW w:w="24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i w:val="1"/>
                <w:iCs w:val="1"/>
                <w:color w:val="auto"/>
              </w:rPr>
              <w:t xml:space="preserve">$8.63 </w:t>
            </w:r>
            <w:r>
              <w:rPr>
                <w:rFonts w:ascii="Arial" w:cs="Arial" w:eastAsia="Arial" w:hAnsi="Arial"/>
                <w:sz w:val="16"/>
                <w:szCs w:val="16"/>
                <w:b w:val="1"/>
                <w:bCs w:val="1"/>
                <w:color w:val="auto"/>
              </w:rPr>
              <w:t>Warrants</w:t>
            </w:r>
          </w:p>
        </w:tc>
        <w:tc>
          <w:tcPr>
            <w:tcW w:w="240" w:type="dxa"/>
            <w:vAlign w:val="bottom"/>
          </w:tcPr>
          <w:p>
            <w:pPr>
              <w:spacing w:after="0"/>
              <w:rPr>
                <w:sz w:val="20"/>
                <w:szCs w:val="20"/>
                <w:color w:val="auto"/>
              </w:rPr>
            </w:pPr>
          </w:p>
        </w:tc>
        <w:tc>
          <w:tcPr>
            <w:tcW w:w="16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 Warrants</w:t>
            </w:r>
          </w:p>
        </w:tc>
      </w:tr>
      <w:tr>
        <w:trPr>
          <w:trHeight w:val="26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3620" w:type="dxa"/>
            <w:vAlign w:val="bottom"/>
          </w:tcPr>
          <w:p>
            <w:pPr>
              <w:ind w:left="20"/>
              <w:spacing w:after="0"/>
              <w:rPr>
                <w:sz w:val="20"/>
                <w:szCs w:val="20"/>
                <w:color w:val="auto"/>
              </w:rPr>
            </w:pPr>
            <w:r>
              <w:rPr>
                <w:rFonts w:ascii="Arial" w:cs="Arial" w:eastAsia="Arial" w:hAnsi="Arial"/>
                <w:sz w:val="16"/>
                <w:szCs w:val="16"/>
                <w:color w:val="auto"/>
              </w:rPr>
              <w:t>Warrants issued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financial instruments</w:t>
            </w: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(4,731)</w:t>
            </w: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Liberty Warrants and Liberty Advisory Fee Warrant</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The Liberty Warrants and the Liberty Advisory Fee Warrant were initially recognized as a liability with a fair value of $30.9 million. The Liberty Warrants and the Liberty Advisory Fee Warrant remain unexercised and were remeasured to fair value of $2.3 million as of June 30, 2023.</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 Warrant</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PIPE Warrant was initially recognized as a liability with a fair value of $1.3 million. The PIPE Warrant remains unexercised and was remeasured to fair value of $0.1 million as of June 30, 2023.</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$8.63 Warrants</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In connection with the Merger, we entered into an Assignment, Assumption and Amendment Agreement (the “Amended Warrant Agreement”), dated January 25, 2022 with the Sponsor and CF V that amends the Warrant Agreement (the “Existing Warrant Agreement”), dated January 28, 2021.</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Pursuant to the Existing Warrant Agreement we issued Public Warrants to purchase 8,333,333 Class A ordinary shares and 200,000 Private Placement Warrants. Additionally, we agreed to issue the Forward Purchase Warrant to purchase 333,333 Class A ordinary shares pursuant to the Amended and Restated Forward Purchase Agreement (together, with the Public Warrants and the Private Placement Warrants, the “$8.63 Warrants”).</w:t>
      </w:r>
    </w:p>
    <w:p>
      <w:pPr>
        <w:spacing w:after="0" w:line="211" w:lineRule="exact"/>
        <w:rPr>
          <w:sz w:val="20"/>
          <w:szCs w:val="20"/>
          <w:color w:val="auto"/>
        </w:rPr>
      </w:pPr>
    </w:p>
    <w:p>
      <w:pPr>
        <w:jc w:val="both"/>
        <w:spacing w:after="0" w:line="403" w:lineRule="auto"/>
        <w:rPr>
          <w:sz w:val="20"/>
          <w:szCs w:val="20"/>
          <w:color w:val="auto"/>
        </w:rPr>
      </w:pPr>
      <w:r>
        <w:rPr>
          <w:rFonts w:ascii="Arial" w:cs="Arial" w:eastAsia="Arial" w:hAnsi="Arial"/>
          <w:sz w:val="16"/>
          <w:szCs w:val="16"/>
          <w:color w:val="auto"/>
        </w:rPr>
        <w:t>All of the $8.63 Warrants are governed by the Existing Warrant Agreement. The $8.63 Warrants became exercisable 30 days after the Closing Date, or February 25, 2022, and will expire five years after the Closing Date (January 25, 2027), or earlier upon redemption or liquidation.</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$8.63 Warrants were initially recognized as a liability with a fair value of $4.9 million. On April 1, 2022, we determined pursuant to a warrant agreement executed by CF V on January 28, 2021, as modified and assumed by an assignment and assumption agreement executed on January 25, 2022, that the warrant price with respect to the warrants issued and outstanding was adjusted from $11.50 to $8.63 and the redemption price was adjusted from $18.00 to $13.50.</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Public Warrants to purchase 613,111 shares of Class A ordinary shares were exercised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Earnout Liabilities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Sponsor Earnout</w:t>
            </w:r>
          </w:p>
        </w:tc>
      </w:tr>
      <w:tr>
        <w:trPr>
          <w:trHeight w:val="241"/>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fair value of financial instruments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r>
      <w:tr>
        <w:trPr>
          <w:trHeight w:val="26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Sponsor Earnout</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Pursuant to that certain Sponsor Support Agreement, dated as of July 5, 2021, by and among us, the Sponsor and Nettar, the Sponsor has agreed that during the period between the Closing and the five-year anniversary of the Closing, the Sponsor shall not sell, transfer or otherwise dispose of Class A ordinary shares equal to 1,869,000 less 30% of Forfeiture Escrow Shares retired and cancelled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six months ended June 30, 2023. As a result, the 1,775,962 Class A ordinary shares were not vested and are subject to transfer restrictions and contingent forfeiture provisions.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estimated fair value of the Sponsor Earnout liability is based on a Monte Carlo simulation valuation model using a distribution of potential outcomes on a semi-annual basis over the earnout period, using the most reliable information available. Assumptions used in the valuation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2460" w:type="dxa"/>
            <w:vAlign w:val="bottom"/>
            <w:gridSpan w:val="2"/>
          </w:tcPr>
          <w:p>
            <w:pPr>
              <w:ind w:left="660"/>
              <w:spacing w:after="0"/>
              <w:rPr>
                <w:sz w:val="20"/>
                <w:szCs w:val="20"/>
                <w:color w:val="auto"/>
              </w:rPr>
            </w:pPr>
            <w:r>
              <w:rPr>
                <w:rFonts w:ascii="Arial" w:cs="Arial" w:eastAsia="Arial" w:hAnsi="Arial"/>
                <w:sz w:val="18"/>
                <w:szCs w:val="18"/>
                <w:b w:val="1"/>
                <w:bCs w:val="1"/>
                <w:color w:val="auto"/>
              </w:rPr>
              <w:t>June 30, 2023</w:t>
            </w:r>
          </w:p>
        </w:tc>
        <w:tc>
          <w:tcPr>
            <w:tcW w:w="23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 2022</w:t>
            </w:r>
          </w:p>
        </w:tc>
      </w:tr>
      <w:tr>
        <w:trPr>
          <w:trHeight w:val="27"/>
        </w:trPr>
        <w:tc>
          <w:tcPr>
            <w:tcW w:w="644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Dividend yield (%)</w:t>
            </w:r>
          </w:p>
        </w:tc>
        <w:tc>
          <w:tcPr>
            <w:tcW w:w="24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50.4 %</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36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6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number of shares</w:t>
            </w:r>
          </w:p>
        </w:tc>
        <w:tc>
          <w:tcPr>
            <w:tcW w:w="2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1,775,962</w:t>
            </w:r>
          </w:p>
        </w:tc>
        <w:tc>
          <w:tcPr>
            <w:tcW w:w="100" w:type="dxa"/>
            <w:vAlign w:val="bottom"/>
            <w:shd w:val="clear" w:color="auto" w:fill="CCEEFF"/>
          </w:tcPr>
          <w:p>
            <w:pPr>
              <w:spacing w:after="0"/>
              <w:rPr>
                <w:sz w:val="21"/>
                <w:szCs w:val="21"/>
                <w:color w:val="auto"/>
              </w:rPr>
            </w:pPr>
          </w:p>
        </w:tc>
        <w:tc>
          <w:tcPr>
            <w:tcW w:w="2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1,775,962</w:t>
            </w:r>
          </w:p>
        </w:tc>
      </w:tr>
      <w:tr>
        <w:trPr>
          <w:trHeight w:val="27"/>
        </w:trPr>
        <w:tc>
          <w:tcPr>
            <w:tcW w:w="64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Forfeiture Earnout</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connection with the closing of the Merger (the “Closing”), we delivered 310,127 shares of our Class A ordinary shares to an escrow account (“Forfeiture Escrow Shares”). The Forfeiture Escrow Shares were held in escrow for a 30-day adjustment period subsequent to the Closing Date, subject to forfeiture, depending on the VWAP. If the VWAP during the adjustment period was $10.00 or more, all Forfeiture Escrow Shares would be released. For the five-year period following the adjustment period, if the closing price of the shares on the principal exchange or securities market on which such securities are listed or quoted is at or above $15.00 for 10 out of 20 trading days, which do not have to be consecutive, the stockholders will have the right to receive their respective portions of shares back.</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shares were forfeited because the VWAP was below $10.00. The Forfeiture Earnout was initially recognized as a liability with a fair value of $6.1 million. The liability was remeasured to a fair value of $1.0 million at the end of the adjustment period and reclassified as an equity instrument.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Property and Equipment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Property and equipment, net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Estimated Useful</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3"/>
        </w:trPr>
        <w:tc>
          <w:tcPr>
            <w:tcW w:w="6600" w:type="dxa"/>
            <w:vAlign w:val="bottom"/>
          </w:tcPr>
          <w:p>
            <w:pPr>
              <w:spacing w:after="0"/>
              <w:rPr>
                <w:sz w:val="19"/>
                <w:szCs w:val="19"/>
                <w:color w:val="auto"/>
              </w:rPr>
            </w:pPr>
          </w:p>
        </w:tc>
        <w:tc>
          <w:tcPr>
            <w:tcW w:w="1580" w:type="dxa"/>
            <w:vAlign w:val="bottom"/>
            <w:gridSpan w:val="2"/>
          </w:tcPr>
          <w:p>
            <w:pPr>
              <w:ind w:left="260"/>
              <w:spacing w:after="0"/>
              <w:rPr>
                <w:sz w:val="20"/>
                <w:szCs w:val="20"/>
                <w:color w:val="auto"/>
              </w:rPr>
            </w:pPr>
            <w:r>
              <w:rPr>
                <w:rFonts w:ascii="Arial" w:cs="Arial" w:eastAsia="Arial" w:hAnsi="Arial"/>
                <w:sz w:val="16"/>
                <w:szCs w:val="16"/>
                <w:b w:val="1"/>
                <w:bCs w:val="1"/>
                <w:color w:val="auto"/>
              </w:rPr>
              <w:t>Life (in years)</w:t>
            </w:r>
          </w:p>
        </w:tc>
        <w:tc>
          <w:tcPr>
            <w:tcW w:w="28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2022</w:t>
            </w:r>
          </w:p>
        </w:tc>
      </w:tr>
      <w:tr>
        <w:trPr>
          <w:trHeight w:val="24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Satellites and other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68,309</w:t>
            </w:r>
          </w:p>
        </w:tc>
        <w:tc>
          <w:tcPr>
            <w:tcW w:w="10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54,370</w:t>
            </w:r>
          </w:p>
        </w:tc>
      </w:tr>
      <w:tr>
        <w:trPr>
          <w:trHeight w:val="233"/>
        </w:trPr>
        <w:tc>
          <w:tcPr>
            <w:tcW w:w="6600" w:type="dxa"/>
            <w:vAlign w:val="bottom"/>
          </w:tcPr>
          <w:p>
            <w:pPr>
              <w:ind w:left="20"/>
              <w:spacing w:after="0"/>
              <w:rPr>
                <w:sz w:val="20"/>
                <w:szCs w:val="20"/>
                <w:color w:val="auto"/>
              </w:rPr>
            </w:pPr>
            <w:r>
              <w:rPr>
                <w:rFonts w:ascii="Arial" w:cs="Arial" w:eastAsia="Arial" w:hAnsi="Arial"/>
                <w:sz w:val="16"/>
                <w:szCs w:val="16"/>
                <w:color w:val="auto"/>
              </w:rPr>
              <w:t>Satellites under construction</w:t>
            </w:r>
          </w:p>
        </w:tc>
        <w:tc>
          <w:tcPr>
            <w:tcW w:w="1580" w:type="dxa"/>
            <w:vAlign w:val="bottom"/>
            <w:gridSpan w:val="2"/>
          </w:tcPr>
          <w:p>
            <w:pPr>
              <w:ind w:left="520"/>
              <w:spacing w:after="0"/>
              <w:rPr>
                <w:sz w:val="20"/>
                <w:szCs w:val="20"/>
                <w:color w:val="auto"/>
              </w:rPr>
            </w:pPr>
            <w:r>
              <w:rPr>
                <w:rFonts w:ascii="Arial" w:cs="Arial" w:eastAsia="Arial" w:hAnsi="Arial"/>
                <w:sz w:val="16"/>
                <w:szCs w:val="16"/>
                <w:color w:val="auto"/>
              </w:rPr>
              <w:t>Not applicable</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22,194</w:t>
            </w:r>
          </w:p>
        </w:tc>
      </w:tr>
      <w:tr>
        <w:trPr>
          <w:trHeight w:val="25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6,433</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property and equipment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4,146</w:t>
            </w:r>
          </w:p>
        </w:tc>
      </w:tr>
      <w:tr>
        <w:trPr>
          <w:trHeight w:val="243"/>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property and equipment</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93,803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87,143</w:t>
            </w:r>
          </w:p>
        </w:tc>
      </w:tr>
      <w:tr>
        <w:trPr>
          <w:trHeight w:val="236"/>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(48,040)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(39,162)</w:t>
            </w:r>
          </w:p>
        </w:tc>
      </w:tr>
      <w:tr>
        <w:trPr>
          <w:trHeight w:val="26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47,981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Information related to the Company’s property and equipment and operating lease ROU assets by geography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Uruguay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43,134</w:t>
            </w:r>
          </w:p>
        </w:tc>
        <w:tc>
          <w:tcPr>
            <w:tcW w:w="0" w:type="dxa"/>
            <w:vAlign w:val="bottom"/>
          </w:tcPr>
          <w:p>
            <w:pPr>
              <w:spacing w:after="0"/>
              <w:rPr>
                <w:sz w:val="1"/>
                <w:szCs w:val="1"/>
                <w:color w:val="auto"/>
              </w:rPr>
            </w:pPr>
          </w:p>
        </w:tc>
      </w:tr>
      <w:tr>
        <w:trPr>
          <w:trHeight w:val="23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Argentina</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5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3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9,471</w:t>
            </w:r>
          </w:p>
        </w:tc>
        <w:tc>
          <w:tcPr>
            <w:tcW w:w="0" w:type="dxa"/>
            <w:vAlign w:val="bottom"/>
          </w:tcPr>
          <w:p>
            <w:pPr>
              <w:spacing w:after="0"/>
              <w:rPr>
                <w:sz w:val="1"/>
                <w:szCs w:val="1"/>
                <w:color w:val="auto"/>
              </w:rPr>
            </w:pPr>
          </w:p>
        </w:tc>
      </w:tr>
      <w:tr>
        <w:trPr>
          <w:trHeight w:val="24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countries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line="243" w:lineRule="exact"/>
              <w:rPr>
                <w:sz w:val="20"/>
                <w:szCs w:val="20"/>
                <w:color w:val="auto"/>
              </w:rPr>
            </w:pPr>
            <w:r>
              <w:rPr>
                <w:rFonts w:ascii="Arial" w:cs="Arial" w:eastAsia="Arial" w:hAnsi="Arial"/>
                <w:sz w:val="28"/>
                <w:szCs w:val="28"/>
                <w:b w:val="1"/>
                <w:bCs w:val="1"/>
                <w:color w:val="auto"/>
                <w:vertAlign w:val="subscript"/>
              </w:rPr>
              <w:t>Total</w:t>
            </w:r>
            <w:r>
              <w:rPr>
                <w:rFonts w:ascii="Arial" w:cs="Arial" w:eastAsia="Arial" w:hAnsi="Arial"/>
                <w:sz w:val="10"/>
                <w:szCs w:val="10"/>
                <w:b w:val="1"/>
                <w:bCs w:val="1"/>
                <w:color w:val="auto"/>
              </w:rPr>
              <w:t xml:space="preserve"> (1) (2) (3)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55,673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56,152</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1"/>
                <w:szCs w:val="11"/>
                <w:color w:val="auto"/>
              </w:rPr>
              <w:t>(1)</w:t>
            </w:r>
          </w:p>
        </w:tc>
        <w:tc>
          <w:tcPr>
            <w:tcW w:w="8020" w:type="dxa"/>
            <w:vAlign w:val="bottom"/>
            <w:vMerge w:val="restart"/>
          </w:tcPr>
          <w:p>
            <w:pPr>
              <w:ind w:left="160"/>
              <w:spacing w:after="0"/>
              <w:rPr>
                <w:sz w:val="20"/>
                <w:szCs w:val="20"/>
                <w:color w:val="auto"/>
              </w:rPr>
            </w:pPr>
            <w:r>
              <w:rPr>
                <w:rFonts w:ascii="Arial" w:cs="Arial" w:eastAsia="Arial" w:hAnsi="Arial"/>
                <w:sz w:val="16"/>
                <w:szCs w:val="16"/>
                <w:color w:val="auto"/>
              </w:rPr>
              <w:t>Non-current assets include property and equipment, net and operating lease right-of-use assets.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160" w:type="dxa"/>
            <w:vAlign w:val="bottom"/>
            <w:vMerge w:val="continue"/>
          </w:tcPr>
          <w:p>
            <w:pPr>
              <w:spacing w:after="0"/>
              <w:rPr>
                <w:sz w:val="24"/>
                <w:szCs w:val="24"/>
                <w:color w:val="auto"/>
              </w:rPr>
            </w:pPr>
          </w:p>
        </w:tc>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80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20"/>
                <w:szCs w:val="20"/>
                <w:color w:val="auto"/>
              </w:rPr>
            </w:pPr>
            <w:r>
              <w:rPr>
                <w:rFonts w:ascii="Arial" w:cs="Arial" w:eastAsia="Arial" w:hAnsi="Arial"/>
                <w:sz w:val="11"/>
                <w:szCs w:val="11"/>
                <w:color w:val="auto"/>
              </w:rPr>
              <w:t>(2)</w:t>
            </w:r>
          </w:p>
        </w:tc>
        <w:tc>
          <w:tcPr>
            <w:tcW w:w="8020" w:type="dxa"/>
            <w:vAlign w:val="bottom"/>
            <w:vMerge w:val="restart"/>
          </w:tcPr>
          <w:p>
            <w:pPr>
              <w:ind w:left="160"/>
              <w:spacing w:after="0"/>
              <w:rPr>
                <w:sz w:val="20"/>
                <w:szCs w:val="20"/>
                <w:color w:val="auto"/>
              </w:rPr>
            </w:pPr>
            <w:r>
              <w:rPr>
                <w:rFonts w:ascii="Arial" w:cs="Arial" w:eastAsia="Arial" w:hAnsi="Arial"/>
                <w:sz w:val="16"/>
                <w:szCs w:val="16"/>
                <w:color w:val="auto"/>
              </w:rPr>
              <w:t>Presentation in the table is based on the geographic location of the entity that holds the assets.</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80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20"/>
                <w:szCs w:val="20"/>
                <w:color w:val="auto"/>
              </w:rPr>
            </w:pPr>
            <w:r>
              <w:rPr>
                <w:rFonts w:ascii="Arial" w:cs="Arial" w:eastAsia="Arial" w:hAnsi="Arial"/>
                <w:sz w:val="11"/>
                <w:szCs w:val="11"/>
                <w:color w:val="auto"/>
              </w:rPr>
              <w:t>(3)</w:t>
            </w:r>
          </w:p>
        </w:tc>
        <w:tc>
          <w:tcPr>
            <w:tcW w:w="8020" w:type="dxa"/>
            <w:vAlign w:val="bottom"/>
            <w:vMerge w:val="restart"/>
          </w:tcPr>
          <w:p>
            <w:pPr>
              <w:ind w:left="160"/>
              <w:spacing w:after="0"/>
              <w:rPr>
                <w:sz w:val="20"/>
                <w:szCs w:val="20"/>
                <w:color w:val="auto"/>
              </w:rPr>
            </w:pPr>
            <w:r>
              <w:rPr>
                <w:rFonts w:ascii="Arial" w:cs="Arial" w:eastAsia="Arial" w:hAnsi="Arial"/>
                <w:sz w:val="16"/>
                <w:szCs w:val="16"/>
                <w:color w:val="auto"/>
              </w:rPr>
              <w:t>We do not have any non-current assets in the country of incorporation of the holding company.</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60" w:type="dxa"/>
            <w:vAlign w:val="bottom"/>
          </w:tcPr>
          <w:p>
            <w:pPr>
              <w:spacing w:after="0"/>
              <w:rPr>
                <w:sz w:val="6"/>
                <w:szCs w:val="6"/>
                <w:color w:val="auto"/>
              </w:rPr>
            </w:pPr>
          </w:p>
        </w:tc>
        <w:tc>
          <w:tcPr>
            <w:tcW w:w="80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2"/>
        </w:trPr>
        <w:tc>
          <w:tcPr>
            <w:tcW w:w="8180" w:type="dxa"/>
            <w:vAlign w:val="bottom"/>
            <w:gridSpan w:val="2"/>
          </w:tcPr>
          <w:p>
            <w:pPr>
              <w:spacing w:after="0"/>
              <w:rPr>
                <w:sz w:val="20"/>
                <w:szCs w:val="20"/>
                <w:color w:val="auto"/>
              </w:rPr>
            </w:pPr>
            <w:r>
              <w:rPr>
                <w:rFonts w:ascii="Arial" w:cs="Arial" w:eastAsia="Arial" w:hAnsi="Arial"/>
                <w:sz w:val="20"/>
                <w:szCs w:val="20"/>
                <w:b w:val="1"/>
                <w:bCs w:val="1"/>
                <w:color w:val="auto"/>
              </w:rPr>
              <w:t>9. Additional Financial Statement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80" w:type="dxa"/>
            <w:vAlign w:val="bottom"/>
            <w:gridSpan w:val="2"/>
          </w:tcPr>
          <w:p>
            <w:pPr>
              <w:spacing w:after="0"/>
              <w:rPr>
                <w:sz w:val="20"/>
                <w:szCs w:val="20"/>
                <w:color w:val="auto"/>
              </w:rPr>
            </w:pPr>
            <w:r>
              <w:rPr>
                <w:rFonts w:ascii="Arial" w:cs="Arial" w:eastAsia="Arial" w:hAnsi="Arial"/>
                <w:sz w:val="20"/>
                <w:szCs w:val="20"/>
                <w:i w:val="1"/>
                <w:iCs w:val="1"/>
                <w:color w:val="auto"/>
              </w:rPr>
              <w:t>Prepaid Expenses and Other Current Assets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24"/>
                <w:szCs w:val="24"/>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56"/>
        </w:trPr>
        <w:tc>
          <w:tcPr>
            <w:tcW w:w="160" w:type="dxa"/>
            <w:vAlign w:val="bottom"/>
            <w:tcBorders>
              <w:bottom w:val="single" w:sz="8" w:color="CCEEFF"/>
            </w:tcBorders>
          </w:tcPr>
          <w:p>
            <w:pPr>
              <w:spacing w:after="0"/>
              <w:rPr>
                <w:sz w:val="22"/>
                <w:szCs w:val="22"/>
                <w:color w:val="auto"/>
              </w:rPr>
            </w:pPr>
          </w:p>
        </w:tc>
        <w:tc>
          <w:tcPr>
            <w:tcW w:w="8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 current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253"/>
        </w:trPr>
        <w:tc>
          <w:tcPr>
            <w:tcW w:w="160" w:type="dxa"/>
            <w:vAlign w:val="bottom"/>
            <w:shd w:val="clear" w:color="auto" w:fill="CCEEFF"/>
          </w:tcPr>
          <w:p>
            <w:pPr>
              <w:spacing w:after="0"/>
              <w:rPr>
                <w:sz w:val="21"/>
                <w:szCs w:val="21"/>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Advances to suppliers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37"/>
        </w:trPr>
        <w:tc>
          <w:tcPr>
            <w:tcW w:w="16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6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3,198</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Accrued Expenses and Other Liabilities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31,</w:t>
            </w:r>
          </w:p>
        </w:tc>
      </w:tr>
      <w:tr>
        <w:trPr>
          <w:trHeight w:val="256"/>
        </w:trPr>
        <w:tc>
          <w:tcPr>
            <w:tcW w:w="81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Accrued expenses and other liabilities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Provisions</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Payroll and benefits payable</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Other taxes payable</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3,337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3,128</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9"/>
              </w:rPr>
              <w:t>7,280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6,939</w:t>
            </w:r>
          </w:p>
        </w:tc>
      </w:tr>
      <w:tr>
        <w:trPr>
          <w:trHeight w:val="264"/>
        </w:trPr>
        <w:tc>
          <w:tcPr>
            <w:tcW w:w="8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Total current</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6,766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Finance Costs, net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income (expense), net</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(1,588)</w:t>
            </w:r>
          </w:p>
        </w:tc>
      </w:tr>
      <w:tr>
        <w:trPr>
          <w:trHeight w:val="253"/>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Series X preferred stock dividends</w:t>
            </w:r>
          </w:p>
        </w:tc>
        <w:tc>
          <w:tcPr>
            <w:tcW w:w="9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3"/>
        </w:trPr>
        <w:tc>
          <w:tcPr>
            <w:tcW w:w="8180" w:type="dxa"/>
            <w:vAlign w:val="bottom"/>
          </w:tcPr>
          <w:p>
            <w:pPr>
              <w:ind w:left="180"/>
              <w:spacing w:after="0"/>
              <w:rPr>
                <w:sz w:val="20"/>
                <w:szCs w:val="20"/>
                <w:color w:val="auto"/>
              </w:rPr>
            </w:pPr>
            <w:r>
              <w:rPr>
                <w:rFonts w:ascii="Arial" w:cs="Arial" w:eastAsia="Arial" w:hAnsi="Arial"/>
                <w:sz w:val="16"/>
                <w:szCs w:val="16"/>
                <w:color w:val="auto"/>
              </w:rPr>
              <w:t>Other finance costs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46"/>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(1,606)</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Income Tax</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Company is incorporated in the BVI. The BVI does not impose corporate income taxes. Our operations are conducted through various subsidiaries in a number of countries throughout the world with significant operations in Uruguay, where we operate in a free trade zone. Consequently, income tax has been provided based on the laws and rates in effect in the countries in which operations are conducted or in which our subsidiaries are considered resident for corporate income tax purposes, including Argentina, China, Israel, the Netherlands, Spain, Uruguay, and the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78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(27,727)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(5,978)</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2,143</w:t>
            </w:r>
          </w:p>
        </w:tc>
      </w:tr>
      <w:tr>
        <w:trPr>
          <w:trHeight w:val="25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(35.9 %)</w:t>
            </w:r>
          </w:p>
        </w:tc>
      </w:tr>
    </w:tbl>
    <w:p>
      <w:pPr>
        <w:spacing w:after="0" w:line="280"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Our effective tax rate for the six months ended June 30, 2023 differs from the BVI statutory rate of 0%. We maintain the exception under ASC 740-270-30-36(b), </w:t>
      </w:r>
      <w:r>
        <w:rPr>
          <w:rFonts w:ascii="Arial" w:cs="Arial" w:eastAsia="Arial" w:hAnsi="Arial"/>
          <w:sz w:val="19"/>
          <w:szCs w:val="19"/>
          <w:i w:val="1"/>
          <w:iCs w:val="1"/>
          <w:color w:val="auto"/>
        </w:rPr>
        <w:t>Accounting for Income Taxes</w:t>
      </w:r>
      <w:r>
        <w:rPr>
          <w:rFonts w:ascii="Arial" w:cs="Arial" w:eastAsia="Arial" w:hAnsi="Arial"/>
          <w:sz w:val="19"/>
          <w:szCs w:val="19"/>
          <w:color w:val="auto"/>
        </w:rPr>
        <w:t>, for jurisdictions that do not have reliable estimates of income. We have used a year-to-date methodology to determine the effective tax rate for the six months ended June 30, 2023 and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recognizes uncertain income tax positions when it is not more-likely-than-not a tax position will be sustained upon examination. As of June 30, 2023, the Company has recognized uncertain tax positions related to positions taken in Argentina and Spain. If necessary, the Company accrues interest and penalties related to uncertain tax positions as a component of the income tax provision.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the beginning and ending amounts of our gross unrecognized tax benefits is as follows: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Six Months Ended June</w:t>
            </w:r>
          </w:p>
        </w:tc>
      </w:tr>
      <w:tr>
        <w:trPr>
          <w:trHeight w:val="237"/>
        </w:trPr>
        <w:tc>
          <w:tcPr>
            <w:tcW w:w="7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2023</w:t>
            </w:r>
          </w:p>
        </w:tc>
      </w:tr>
      <w:tr>
        <w:trPr>
          <w:trHeight w:val="224"/>
        </w:trPr>
        <w:tc>
          <w:tcPr>
            <w:tcW w:w="7740" w:type="dxa"/>
            <w:vAlign w:val="bottom"/>
          </w:tcPr>
          <w:p>
            <w:pPr>
              <w:spacing w:after="0"/>
              <w:rPr>
                <w:sz w:val="20"/>
                <w:szCs w:val="20"/>
                <w:color w:val="auto"/>
              </w:rPr>
            </w:pPr>
            <w:r>
              <w:rPr>
                <w:rFonts w:ascii="Arial" w:cs="Arial" w:eastAsia="Arial" w:hAnsi="Arial"/>
                <w:sz w:val="16"/>
                <w:szCs w:val="16"/>
                <w:color w:val="auto"/>
              </w:rPr>
              <w:t>Balance at January 1, 2023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center"/>
              <w:ind w:left="1499"/>
              <w:spacing w:after="0"/>
              <w:rPr>
                <w:sz w:val="20"/>
                <w:szCs w:val="20"/>
                <w:color w:val="auto"/>
              </w:rPr>
            </w:pPr>
            <w:r>
              <w:rPr>
                <w:rFonts w:ascii="Arial" w:cs="Arial" w:eastAsia="Arial" w:hAnsi="Arial"/>
                <w:sz w:val="16"/>
                <w:szCs w:val="16"/>
                <w:color w:val="auto"/>
                <w:w w:val="89"/>
              </w:rPr>
              <w:t>3,889</w:t>
            </w:r>
          </w:p>
        </w:tc>
      </w:tr>
      <w:tr>
        <w:trPr>
          <w:trHeight w:val="256"/>
        </w:trPr>
        <w:tc>
          <w:tcPr>
            <w:tcW w:w="7740" w:type="dxa"/>
            <w:vAlign w:val="bottom"/>
          </w:tcPr>
          <w:p>
            <w:pPr>
              <w:spacing w:after="0"/>
              <w:rPr>
                <w:sz w:val="20"/>
                <w:szCs w:val="20"/>
                <w:color w:val="auto"/>
              </w:rPr>
            </w:pPr>
            <w:r>
              <w:rPr>
                <w:rFonts w:ascii="Arial" w:cs="Arial" w:eastAsia="Arial" w:hAnsi="Arial"/>
                <w:sz w:val="16"/>
                <w:szCs w:val="16"/>
                <w:color w:val="auto"/>
              </w:rPr>
              <w:t>Increases (decreases) in tax positions related to prior periods</w:t>
            </w:r>
          </w:p>
        </w:tc>
        <w:tc>
          <w:tcPr>
            <w:tcW w:w="2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center"/>
              <w:ind w:left="1459"/>
              <w:spacing w:after="0"/>
              <w:rPr>
                <w:sz w:val="20"/>
                <w:szCs w:val="20"/>
                <w:color w:val="auto"/>
              </w:rPr>
            </w:pPr>
            <w:r>
              <w:rPr>
                <w:rFonts w:ascii="Arial" w:cs="Arial" w:eastAsia="Arial" w:hAnsi="Arial"/>
                <w:sz w:val="16"/>
                <w:szCs w:val="16"/>
                <w:color w:val="auto"/>
                <w:w w:val="94"/>
              </w:rPr>
              <w:t>(1,150)</w:t>
            </w:r>
          </w:p>
        </w:tc>
      </w:tr>
      <w:tr>
        <w:trPr>
          <w:trHeight w:val="243"/>
        </w:trPr>
        <w:tc>
          <w:tcPr>
            <w:tcW w:w="7740" w:type="dxa"/>
            <w:vAlign w:val="bottom"/>
          </w:tcPr>
          <w:p>
            <w:pPr>
              <w:spacing w:after="0"/>
              <w:rPr>
                <w:sz w:val="20"/>
                <w:szCs w:val="20"/>
                <w:color w:val="auto"/>
              </w:rPr>
            </w:pPr>
            <w:r>
              <w:rPr>
                <w:rFonts w:ascii="Arial" w:cs="Arial" w:eastAsia="Arial" w:hAnsi="Arial"/>
                <w:sz w:val="16"/>
                <w:szCs w:val="16"/>
                <w:color w:val="auto"/>
              </w:rPr>
              <w:t>Balance at June 30, 2023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center"/>
              <w:ind w:left="1499"/>
              <w:spacing w:after="0"/>
              <w:rPr>
                <w:sz w:val="20"/>
                <w:szCs w:val="20"/>
                <w:color w:val="auto"/>
              </w:rPr>
            </w:pPr>
            <w:r>
              <w:rPr>
                <w:rFonts w:ascii="Arial" w:cs="Arial" w:eastAsia="Arial" w:hAnsi="Arial"/>
                <w:sz w:val="16"/>
                <w:szCs w:val="16"/>
                <w:color w:val="auto"/>
                <w:w w:val="89"/>
              </w:rPr>
              <w:t>2,739</w:t>
            </w:r>
          </w:p>
        </w:tc>
      </w:tr>
      <w:tr>
        <w:trPr>
          <w:trHeight w:val="20"/>
        </w:trPr>
        <w:tc>
          <w:tcPr>
            <w:tcW w:w="7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Company believes that it is reasonably possible that a decrease of up to $0.2 million in unrecognized tax benefits related to foreign exposures may be necessary within the coming year.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Stockholders’ Equity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Reverse Recapitalization</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Condensed Consolidated Statements of Redeemable Preferred Stock and Stockholders’ Equity reflect the Merger and reverse recapitalization as of January 2022 as discussed in Note 4 (Reverse Recapitalization). Since it was determined that Satellogic Inc. was the accounting acquirer in the reverse recapitalization, all periods prior to the consummation of the Merger reflect the balances and activity of Satellogic Inc. (other than shares which were retroactively restated in connection with the Merger).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Preferred Stock</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Prior to the Merger, the Company’s authorized and issued preferred stock consisted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8"/>
              </w:rPr>
              <w:t>Issued and</w:t>
            </w:r>
          </w:p>
        </w:tc>
      </w:tr>
      <w:tr>
        <w:trPr>
          <w:trHeight w:val="203"/>
        </w:trPr>
        <w:tc>
          <w:tcPr>
            <w:tcW w:w="7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Outstanding Shares</w:t>
            </w:r>
          </w:p>
        </w:tc>
      </w:tr>
      <w:tr>
        <w:trPr>
          <w:trHeight w:val="189"/>
        </w:trPr>
        <w:tc>
          <w:tcPr>
            <w:tcW w:w="73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Authorized Shares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(as of December 31,</w:t>
            </w:r>
          </w:p>
        </w:tc>
      </w:tr>
      <w:tr>
        <w:trPr>
          <w:trHeight w:val="210"/>
        </w:trPr>
        <w:tc>
          <w:tcPr>
            <w:tcW w:w="732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(prior to Merger)</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2021)</w:t>
            </w:r>
          </w:p>
        </w:tc>
      </w:tr>
      <w:tr>
        <w:trPr>
          <w:trHeight w:val="33"/>
        </w:trPr>
        <w:tc>
          <w:tcPr>
            <w:tcW w:w="73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4,723,330</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2,547,330</w:t>
            </w: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560" w:type="dxa"/>
            <w:vAlign w:val="bottom"/>
          </w:tcPr>
          <w:p>
            <w:pPr>
              <w:jc w:val="right"/>
              <w:spacing w:after="0"/>
              <w:rPr>
                <w:sz w:val="20"/>
                <w:szCs w:val="20"/>
                <w:color w:val="auto"/>
              </w:rPr>
            </w:pPr>
            <w:r>
              <w:rPr>
                <w:rFonts w:ascii="Arial" w:cs="Arial" w:eastAsia="Arial" w:hAnsi="Arial"/>
                <w:sz w:val="16"/>
                <w:szCs w:val="16"/>
                <w:color w:val="auto"/>
              </w:rPr>
              <w:t>3,117,915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1,392,131</w:t>
            </w:r>
          </w:p>
        </w:tc>
      </w:tr>
      <w:tr>
        <w:trPr>
          <w:trHeight w:val="24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B-1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899,153</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672,524</w:t>
            </w:r>
          </w:p>
        </w:tc>
      </w:tr>
      <w:tr>
        <w:trPr>
          <w:trHeight w:val="243"/>
        </w:trPr>
        <w:tc>
          <w:tcPr>
            <w:tcW w:w="7320" w:type="dxa"/>
            <w:vAlign w:val="bottom"/>
          </w:tcPr>
          <w:p>
            <w:pPr>
              <w:ind w:left="240"/>
              <w:spacing w:after="0"/>
              <w:rPr>
                <w:sz w:val="20"/>
                <w:szCs w:val="20"/>
                <w:color w:val="auto"/>
              </w:rPr>
            </w:pPr>
            <w:r>
              <w:rPr>
                <w:rFonts w:ascii="Arial" w:cs="Arial" w:eastAsia="Arial" w:hAnsi="Arial"/>
                <w:sz w:val="16"/>
                <w:szCs w:val="16"/>
                <w:color w:val="auto"/>
              </w:rPr>
              <w:t>Total preferred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8,740,398</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4,611,985</w:t>
            </w:r>
          </w:p>
        </w:tc>
      </w:tr>
      <w:tr>
        <w:trPr>
          <w:trHeight w:val="20"/>
        </w:trPr>
        <w:tc>
          <w:tcPr>
            <w:tcW w:w="7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In connection with the Merger, all shares of preferred stock were converted to shares of Class A ordinary shares.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Preferred Stockholder Transaction</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March 2021, we signed an Exchange Agreement (the “Exchange Agreement”) in conjunction with a Loan and Security Agreement and warrant with Columbia River Investment Limited, a holder of preferred stock and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5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convertible notes (the “Investor”), requiring the Investor to sell back to us all its outstanding shares and Notes debt (as part of the sale of such notes to Nettar Group Inc.</w:t>
      </w:r>
    </w:p>
    <w:p>
      <w:pPr>
        <w:spacing w:after="0" w:line="190"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Columbia Warrant was initially recognized as a liability. The fair value of the Columbia Warrant was reclassified to additional paid-in capital in connection with the Merger.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w:t>
      </w:r>
    </w:p>
    <w:p>
      <w:pPr>
        <w:spacing w:after="0" w:line="22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We are authorized to issue unlimited Class A ordinary shares with a par value of $0.0001 per share. Holders of Class A ordinary shares are entitled to one vote for each share. As of June 30, 2023, there were 76,078,888 shares of Class A common stock issued and outstanding.</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addition, we are authorized to issue unlimited shares of Class B ordinary shares with a par value of $0.0001 per share. Holders of Class B ordinary shares are entitled to 1.472467906 votes per share. Satellogic’s founder and Chief Executive Officer owns 13,582,642 Class B ordinary shares, representing 100% of the voting power of the Class B ordinary shares and 20.8% of the voting power of Satellogic’s common stock.</w:t>
      </w:r>
    </w:p>
    <w:p>
      <w:pPr>
        <w:spacing w:after="0" w:line="22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Holders of Class B ordinary shares have a number of votes per share equal to the number of votes controlled by the Liberty Investor. Class B ordinary shares will automatically convert to Class A ordinary shares at the five-year anniversary of the Closing Date unless otherwise converted, generally at the holder’s option.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Treasury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February 14, 2022, our board of directors approved an initial $5 million share repurchase program. Repurchases under the program may be made in the open market, in privately negotiated transactions or otherwise, with the timing of repurchases depending on market conditions.</w:t>
      </w:r>
    </w:p>
    <w:p>
      <w:pPr>
        <w:spacing w:after="0" w:line="22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repurchased 516,123 Class A ordinary shares for $2.7 million during the six months ended June 30, 2022. The Company did not repurchase any shares during the six months ended June 30, 2023.</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Hannover Holdings Transaction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We repurchased 51,700 Class A ordinary shares, 134,735 shares of Series A preferred stock, and 15,082 shares of Series B-1 preferred stock from Hannover Holdings S.A. prior to the consummation of the Merger for an aggregate of $5.9 million (the “Hannover Holdings Transaction”).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employees, including senior executives, receive incentives in the form of stock options and RSUs, whereby employees render services as consideration for equity instruments (equity-settled transactions).</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the Closing Date, we established the 2021 Incentive Compensation Plan (the “2021 Plan”) under which RSUs were issued. The 2021 Plan provides for grant of options, stock appreciation rights, restricted stock awards, RSUs, shares granted as a bonus or in lieu of another award, dividend equivalents, or other stock-based awards or performance awards at the discretion of a board-elected committee. We also maintain our 2015 Share Plan as amended (the “2015 Plan”) under which stock-based awards were issued or modified. The options were typically granted for a four-year vesting term and have a maximum term of 10 years. As of December 31, 2022, no further awards have or shall be granted under the 2015 Share Plan. There were no options granted during the six months ended June 30, 2023 or 2022. the direct allocation as well as the sale of shares and the granting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options for the purchase of shares, at the discretion of the Company’s board of directors, to certain employees, advisors and/or independent directors.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A summary of stock option activity for the six months ended June 30, 2023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89"/>
        </w:trPr>
        <w:tc>
          <w:tcPr>
            <w:tcW w:w="5020" w:type="dxa"/>
            <w:vAlign w:val="bottom"/>
          </w:tcPr>
          <w:p>
            <w:pPr>
              <w:spacing w:after="0"/>
              <w:rPr>
                <w:sz w:val="16"/>
                <w:szCs w:val="16"/>
                <w:color w:val="auto"/>
              </w:rPr>
            </w:pP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Intrinsic Value (in</w:t>
            </w:r>
          </w:p>
        </w:tc>
      </w:tr>
      <w:tr>
        <w:trPr>
          <w:trHeight w:val="210"/>
        </w:trPr>
        <w:tc>
          <w:tcPr>
            <w:tcW w:w="50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of Options</w:t>
            </w: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00" w:type="dxa"/>
            <w:vAlign w:val="bottom"/>
          </w:tcPr>
          <w:p>
            <w:pPr>
              <w:spacing w:after="0"/>
              <w:rPr>
                <w:sz w:val="18"/>
                <w:szCs w:val="18"/>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6,067,313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(277,807)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(105,681)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(160,553)</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r>
      <w:tr>
        <w:trPr>
          <w:trHeight w:val="26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June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5,523,272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217"/>
        </w:trPr>
        <w:tc>
          <w:tcPr>
            <w:tcW w:w="5020" w:type="dxa"/>
            <w:vAlign w:val="bottom"/>
          </w:tcPr>
          <w:p>
            <w:pPr>
              <w:ind w:left="20"/>
              <w:spacing w:after="0"/>
              <w:rPr>
                <w:sz w:val="20"/>
                <w:szCs w:val="20"/>
                <w:color w:val="auto"/>
              </w:rPr>
            </w:pPr>
            <w:r>
              <w:rPr>
                <w:rFonts w:ascii="Arial" w:cs="Arial" w:eastAsia="Arial" w:hAnsi="Arial"/>
                <w:sz w:val="16"/>
                <w:szCs w:val="16"/>
                <w:b w:val="1"/>
                <w:bCs w:val="1"/>
                <w:color w:val="auto"/>
              </w:rPr>
              <w:t>Exercisable at June 30, 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4,487,977</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4,215</w:t>
            </w: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further detailed in Note 4 (Reverse Recapitalization), all options to purchase the predecessor ordinary shares were assumed by Satellogic Inc., the new listed company, and became options to purchase Class A ordinary shares of Satellogic Inc., as determined in accordance with the Merger Agreement. There were no other material cancellations or modifications to the granted awards for the six months ended June 30, 2023 and 2022. Exercises are net of 34,000 options that are reflected as forfeitures, which were forfeited for payment of payroll taxes.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 summary of RSU activity for the six months ended June 30, 2023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Number of RSUs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Intrinsic value (in thousands)</w:t>
            </w:r>
          </w:p>
        </w:tc>
      </w:tr>
      <w:tr>
        <w:trPr>
          <w:trHeight w:val="243"/>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Outstanding unvested RSUs at December 31, 2022</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1,459,280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33"/>
        </w:trPr>
        <w:tc>
          <w:tcPr>
            <w:tcW w:w="6640" w:type="dxa"/>
            <w:vAlign w:val="bottom"/>
          </w:tcPr>
          <w:p>
            <w:pPr>
              <w:ind w:left="240"/>
              <w:spacing w:after="0"/>
              <w:rPr>
                <w:sz w:val="20"/>
                <w:szCs w:val="20"/>
                <w:color w:val="auto"/>
              </w:rPr>
            </w:pPr>
            <w:r>
              <w:rPr>
                <w:rFonts w:ascii="Arial" w:cs="Arial" w:eastAsia="Arial" w:hAnsi="Arial"/>
                <w:sz w:val="16"/>
                <w:szCs w:val="16"/>
                <w:color w:val="auto"/>
              </w:rPr>
              <w:t>Granted during the year</w:t>
            </w:r>
          </w:p>
        </w:tc>
        <w:tc>
          <w:tcPr>
            <w:tcW w:w="2260" w:type="dxa"/>
            <w:vAlign w:val="bottom"/>
          </w:tcPr>
          <w:p>
            <w:pPr>
              <w:jc w:val="right"/>
              <w:spacing w:after="0"/>
              <w:rPr>
                <w:sz w:val="20"/>
                <w:szCs w:val="20"/>
                <w:color w:val="auto"/>
              </w:rPr>
            </w:pPr>
            <w:r>
              <w:rPr>
                <w:rFonts w:ascii="Arial" w:cs="Arial" w:eastAsia="Arial" w:hAnsi="Arial"/>
                <w:sz w:val="16"/>
                <w:szCs w:val="16"/>
                <w:color w:val="auto"/>
              </w:rPr>
              <w:t>299,577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53"/>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Forfeited during the year</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r>
      <w:tr>
        <w:trPr>
          <w:trHeight w:val="237"/>
        </w:trPr>
        <w:tc>
          <w:tcPr>
            <w:tcW w:w="6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Vested during the year</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(366,553)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r>
      <w:tr>
        <w:trPr>
          <w:trHeight w:val="26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Outstanding unvested RSUs at June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1,060,832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weighted-average grant-date price of RSUs at June 30, 2023 was $3.56. The number of shares vested is net of and total forfeitures includes 60,416 RSUs forfeited for payment of withholding taxes. There were 6,141 RSUs that vested in 2023 but were not yet issued as ordinary shares as of June 30, 2023.</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 of June 30, 2023, unrecognized stock-based compensation cost related to outstanding options and RSUs that are expected to vest was $1.5 million and $2.5 million, respectively, which is expected to be recognized over a weighted-average period of 1.0 year and 1.75 years,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4740"/>
        <w:spacing w:after="0"/>
        <w:rPr>
          <w:sz w:val="20"/>
          <w:szCs w:val="20"/>
          <w:color w:val="auto"/>
        </w:rPr>
      </w:pPr>
      <w:r>
        <w:rPr>
          <w:rFonts w:ascii="Arial" w:cs="Arial" w:eastAsia="Arial" w:hAnsi="Arial"/>
          <w:sz w:val="20"/>
          <w:szCs w:val="20"/>
          <w:b w:val="1"/>
          <w:bCs w:val="1"/>
          <w:color w:val="auto"/>
        </w:rPr>
        <w:t>SATELLOGIC INC.</w:t>
      </w:r>
    </w:p>
    <w:p>
      <w:pPr>
        <w:spacing w:after="0" w:line="26"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 of U.S. dollars, except per share data, unless otherwise 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Stock-based Compensation Expense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Total employee and non-employee stock-based compensation expense for the six months ended June 30, 2023 and 2022 was classified in the</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Condensed Consolidated Statements of Operations and Comprehensive Loss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9"/>
                <w:szCs w:val="19"/>
                <w:color w:val="auto"/>
              </w:rPr>
            </w:pPr>
          </w:p>
        </w:tc>
      </w:tr>
      <w:tr>
        <w:trPr>
          <w:trHeight w:val="237"/>
        </w:trPr>
        <w:tc>
          <w:tcPr>
            <w:tcW w:w="8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24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243"/>
        </w:trPr>
        <w:tc>
          <w:tcPr>
            <w:tcW w:w="8180" w:type="dxa"/>
            <w:vAlign w:val="bottom"/>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w:t>
            </w:r>
          </w:p>
        </w:tc>
      </w:tr>
      <w:tr>
        <w:trPr>
          <w:trHeight w:val="21"/>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Redeemable Preferred Stock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Reverse Recapitalization</w:t>
      </w:r>
    </w:p>
    <w:p>
      <w:pPr>
        <w:spacing w:after="0" w:line="25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redeemable Series X preferred stock, par value of $0.00001, carried an annual 7% cumulative dividend, payable upon a liquidation, dissolution, winding up or, upon the election of the stockholders, upon redemption. Due to the contractual provisions of the redeemable Series X preferred stock, the Series X preferred stock was accounted for as mezzanine equity.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Upon the closing of the Merger (“Closing”), we cancelled and converted all 2,033,230 shares of issued and outstanding redeemable Series X preferred stock and preferred dividends amounting to $21.4 million into 2,140,340 shares of Satellogic Class A ordinary shares, based on the conversion price of $10.00 per share, at the time the Merger became effective.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2023, there were no issued and outstanding shares of redeemable Series X preferred stock.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Net Loss Per Share</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weighted-average number of shares of common stock outstanding prior to the Merger have been retroactively adjusted by the Exchange Ratio of 3.3028 (“Exchange Ratio”) to give effect to the reverse recapitalization treatment of the Merger. Shares of common stock issued as a result of redeemable Series X preferred stock and the conversion of shares of preferred stock outstanding pre-Merger in connection with the Closing have been included in the basic net loss per share calculation on a prospective basis.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Diluted loss per share considers the impact of potentially dilutive securities. We identified financial instruments that qualify as potential common shares: (i) the share-based options awards described in Note 12 (Stock-based Compensation), (ii) the warrants described in Note 6 (Warrant Liabilities), and (iii) the earnout liabilities described in Note 7 (Earnout Liabilities). With the exception of the Columbia Warrant in 2022, each of these potential common shares are antidilutive for both periods since their conversion to common shares would decrease loss per share from continuing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Columbia Warrant was dilutive due to the change in fair value of financial instruments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b w:val="1"/>
          <w:bCs w:val="1"/>
          <w:color w:val="auto"/>
        </w:rPr>
        <w:t>SATELLOGIC INC.</w:t>
      </w:r>
    </w:p>
    <w:p>
      <w:pPr>
        <w:spacing w:after="0" w:line="28" w:lineRule="exact"/>
        <w:rPr>
          <w:sz w:val="20"/>
          <w:szCs w:val="20"/>
          <w:color w:val="auto"/>
        </w:rPr>
      </w:pPr>
    </w:p>
    <w:p>
      <w:pPr>
        <w:jc w:val="center"/>
        <w:ind w:left="340" w:right="2220"/>
        <w:spacing w:after="0" w:line="253" w:lineRule="auto"/>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color w:val="auto"/>
        </w:rPr>
        <w:t>(Expressed in thousands of US dollars, except per share data, unless otherwise stated) (Unaudited)</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Basic and diluted net loss per share attributable to common stockholders is calculated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Basic weighted-average common shares outstanding (1)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89,326,172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62,094,383</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per share for the period attributable to common stockholders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Adjustment to numerator - Change in fair value of Columbia Warrant liability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(18,635)</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numerator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(26,756)</w:t>
            </w:r>
          </w:p>
        </w:tc>
      </w:tr>
      <w:tr>
        <w:trPr>
          <w:trHeight w:val="233"/>
        </w:trPr>
        <w:tc>
          <w:tcPr>
            <w:tcW w:w="8180" w:type="dxa"/>
            <w:vAlign w:val="bottom"/>
          </w:tcPr>
          <w:p>
            <w:pPr>
              <w:ind w:left="20"/>
              <w:spacing w:after="0"/>
              <w:rPr>
                <w:sz w:val="20"/>
                <w:szCs w:val="20"/>
                <w:color w:val="auto"/>
              </w:rPr>
            </w:pPr>
            <w:r>
              <w:rPr>
                <w:rFonts w:ascii="Arial" w:cs="Arial" w:eastAsia="Arial" w:hAnsi="Arial"/>
                <w:sz w:val="16"/>
                <w:szCs w:val="16"/>
                <w:color w:val="auto"/>
              </w:rPr>
              <w:t>Columbia Warrant</w:t>
            </w:r>
          </w:p>
        </w:tc>
        <w:tc>
          <w:tcPr>
            <w:tcW w:w="34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1,410,657</w:t>
            </w:r>
          </w:p>
        </w:tc>
      </w:tr>
      <w:tr>
        <w:trPr>
          <w:trHeight w:val="25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weighted-average common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89,326,172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63,505,040</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Diluted net loss per share for the period attributable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(0.42)</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 xml:space="preserve"> After applying the 3.3028 Exchange Ratio as described in Note 4 (Reverse Recapitalization).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Fair Value Measurements and Financial Instruments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fair value measurement hierarchy of the Company’s assets and liabilities:</w:t>
      </w:r>
    </w:p>
    <w:p>
      <w:pPr>
        <w:sectPr>
          <w:pgSz w:w="11900" w:h="16838" w:orient="portrait"/>
          <w:cols w:equalWidth="0" w:num="1">
            <w:col w:w="11240"/>
          </w:cols>
          <w:pgMar w:left="320" w:top="115" w:right="339" w:bottom="1076" w:gutter="0" w:footer="0" w:header="0"/>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1230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100"/>
        <w:spacing w:after="0"/>
        <w:rPr>
          <w:sz w:val="20"/>
          <w:szCs w:val="20"/>
          <w:color w:val="auto"/>
        </w:rPr>
      </w:pPr>
      <w:r>
        <w:rPr>
          <w:rFonts w:ascii="Arial" w:cs="Arial" w:eastAsia="Arial" w:hAnsi="Arial"/>
          <w:sz w:val="16"/>
          <w:szCs w:val="16"/>
          <w:b w:val="1"/>
          <w:bCs w:val="1"/>
          <w:color w:val="auto"/>
        </w:rPr>
        <w:t>Financial instruments</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29210</wp:posOffset>
            </wp:positionV>
            <wp:extent cx="29489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Quoted prices</w:t>
            </w: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126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in active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134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Significant</w:t>
            </w:r>
          </w:p>
        </w:tc>
      </w:tr>
      <w:tr>
        <w:trPr>
          <w:trHeight w:val="189"/>
        </w:trPr>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markets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observable</w:t>
            </w:r>
          </w:p>
        </w:tc>
        <w:tc>
          <w:tcPr>
            <w:tcW w:w="134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unobservable</w:t>
            </w:r>
          </w:p>
        </w:tc>
      </w:tr>
      <w:tr>
        <w:trPr>
          <w:trHeight w:val="224"/>
        </w:trPr>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(Level 1)</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inputs (Level 2)</w:t>
            </w:r>
          </w:p>
        </w:tc>
        <w:tc>
          <w:tcPr>
            <w:tcW w:w="1340" w:type="dxa"/>
            <w:vAlign w:val="bottom"/>
          </w:tcPr>
          <w:p>
            <w:pPr>
              <w:ind w:left="260"/>
              <w:spacing w:after="0"/>
              <w:rPr>
                <w:sz w:val="20"/>
                <w:szCs w:val="20"/>
                <w:color w:val="auto"/>
              </w:rPr>
            </w:pPr>
            <w:r>
              <w:rPr>
                <w:rFonts w:ascii="Arial" w:cs="Arial" w:eastAsia="Arial" w:hAnsi="Arial"/>
                <w:sz w:val="16"/>
                <w:szCs w:val="16"/>
                <w:b w:val="1"/>
                <w:bCs w:val="1"/>
                <w:color w:val="auto"/>
                <w:w w:val="90"/>
              </w:rPr>
              <w:t>inputs (Level 3)</w:t>
            </w:r>
          </w:p>
        </w:tc>
      </w:tr>
    </w:tbl>
    <w:p>
      <w:pPr>
        <w:spacing w:after="0" w:line="1" w:lineRule="exact"/>
        <w:rPr>
          <w:sz w:val="20"/>
          <w:szCs w:val="20"/>
          <w:color w:val="auto"/>
        </w:rPr>
      </w:pPr>
    </w:p>
    <w:p>
      <w:pPr>
        <w:sectPr>
          <w:pgSz w:w="11900" w:h="16838" w:orient="portrait"/>
          <w:cols w:equalWidth="0" w:num="2">
            <w:col w:w="6120" w:space="720"/>
            <w:col w:w="4400"/>
          </w:cols>
          <w:pgMar w:left="320" w:top="115" w:right="339" w:bottom="1076"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$8.63 Warrants liability</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PIPE Warrant liability</w:t>
            </w:r>
          </w:p>
        </w:tc>
        <w:tc>
          <w:tcPr>
            <w:tcW w:w="5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4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Liberty Warrants and Liberty Advisory Fee Warrant liability</w:t>
            </w: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w:t>
            </w: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6"/>
                <w:szCs w:val="16"/>
                <w:color w:val="auto"/>
              </w:rPr>
              <w:t>Total Warrant Liabilities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1"/>
                <w:szCs w:val="21"/>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2,448</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Sponsor Earnout Liability</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076"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1230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100"/>
        <w:spacing w:after="0"/>
        <w:rPr>
          <w:sz w:val="20"/>
          <w:szCs w:val="20"/>
          <w:color w:val="auto"/>
        </w:rPr>
      </w:pPr>
      <w:r>
        <w:rPr>
          <w:rFonts w:ascii="Arial" w:cs="Arial" w:eastAsia="Arial" w:hAnsi="Arial"/>
          <w:sz w:val="16"/>
          <w:szCs w:val="16"/>
          <w:b w:val="1"/>
          <w:bCs w:val="1"/>
          <w:color w:val="auto"/>
        </w:rPr>
        <w:t>Financial instruments</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29210</wp:posOffset>
            </wp:positionV>
            <wp:extent cx="2948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89"/>
              </w:rPr>
              <w:t>Quoted prices</w:t>
            </w:r>
          </w:p>
        </w:tc>
        <w:tc>
          <w:tcPr>
            <w:tcW w:w="16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126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in active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134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Significant</w:t>
            </w:r>
          </w:p>
        </w:tc>
      </w:tr>
      <w:tr>
        <w:trPr>
          <w:trHeight w:val="189"/>
        </w:trPr>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markets</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observable</w:t>
            </w:r>
          </w:p>
        </w:tc>
        <w:tc>
          <w:tcPr>
            <w:tcW w:w="1340" w:type="dxa"/>
            <w:vAlign w:val="bottom"/>
          </w:tcPr>
          <w:p>
            <w:pPr>
              <w:jc w:val="center"/>
              <w:ind w:left="139"/>
              <w:spacing w:after="0"/>
              <w:rPr>
                <w:sz w:val="20"/>
                <w:szCs w:val="20"/>
                <w:color w:val="auto"/>
              </w:rPr>
            </w:pPr>
            <w:r>
              <w:rPr>
                <w:rFonts w:ascii="Arial" w:cs="Arial" w:eastAsia="Arial" w:hAnsi="Arial"/>
                <w:sz w:val="16"/>
                <w:szCs w:val="16"/>
                <w:b w:val="1"/>
                <w:bCs w:val="1"/>
                <w:color w:val="auto"/>
                <w:w w:val="88"/>
              </w:rPr>
              <w:t>unobservable</w:t>
            </w:r>
          </w:p>
        </w:tc>
      </w:tr>
      <w:tr>
        <w:trPr>
          <w:trHeight w:val="224"/>
        </w:trPr>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(Level 1)</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inputs (Level 2)</w:t>
            </w:r>
          </w:p>
        </w:tc>
        <w:tc>
          <w:tcPr>
            <w:tcW w:w="1340" w:type="dxa"/>
            <w:vAlign w:val="bottom"/>
          </w:tcPr>
          <w:p>
            <w:pPr>
              <w:ind w:left="260"/>
              <w:spacing w:after="0"/>
              <w:rPr>
                <w:sz w:val="20"/>
                <w:szCs w:val="20"/>
                <w:color w:val="auto"/>
              </w:rPr>
            </w:pPr>
            <w:r>
              <w:rPr>
                <w:rFonts w:ascii="Arial" w:cs="Arial" w:eastAsia="Arial" w:hAnsi="Arial"/>
                <w:sz w:val="16"/>
                <w:szCs w:val="16"/>
                <w:b w:val="1"/>
                <w:bCs w:val="1"/>
                <w:color w:val="auto"/>
                <w:w w:val="90"/>
              </w:rPr>
              <w:t>inputs (Level 3)</w:t>
            </w:r>
          </w:p>
        </w:tc>
      </w:tr>
    </w:tbl>
    <w:p>
      <w:pPr>
        <w:spacing w:after="0" w:line="1" w:lineRule="exact"/>
        <w:rPr>
          <w:sz w:val="20"/>
          <w:szCs w:val="20"/>
          <w:color w:val="auto"/>
        </w:rPr>
      </w:pPr>
    </w:p>
    <w:p>
      <w:pPr>
        <w:sectPr>
          <w:pgSz w:w="11900" w:h="16838" w:orient="portrait"/>
          <w:cols w:equalWidth="0" w:num="2">
            <w:col w:w="6120" w:space="720"/>
            <w:col w:w="4400"/>
          </w:cols>
          <w:pgMar w:left="320" w:top="115" w:right="339" w:bottom="1076"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$8.63 Warrants liability</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600" w:type="dxa"/>
            <w:vAlign w:val="bottom"/>
            <w:gridSpan w:val="2"/>
          </w:tcPr>
          <w:p>
            <w:pPr>
              <w:ind w:left="20"/>
              <w:spacing w:after="0"/>
              <w:rPr>
                <w:sz w:val="20"/>
                <w:szCs w:val="20"/>
                <w:color w:val="auto"/>
              </w:rPr>
            </w:pPr>
            <w:r>
              <w:rPr>
                <w:rFonts w:ascii="Arial" w:cs="Arial" w:eastAsia="Arial" w:hAnsi="Arial"/>
                <w:sz w:val="16"/>
                <w:szCs w:val="16"/>
                <w:color w:val="auto"/>
              </w:rPr>
              <w:t>PIPE Warrant liability</w:t>
            </w:r>
          </w:p>
        </w:tc>
        <w:tc>
          <w:tcPr>
            <w:tcW w:w="5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4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Liberty Warrants and Liberty Advisory Fee Warrant liability</w:t>
            </w: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6,191</w:t>
            </w: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6"/>
                <w:szCs w:val="16"/>
                <w:color w:val="auto"/>
              </w:rPr>
              <w:t>Total Warrant Liabilities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1,833</w:t>
            </w:r>
          </w:p>
        </w:tc>
        <w:tc>
          <w:tcPr>
            <w:tcW w:w="100" w:type="dxa"/>
            <w:vAlign w:val="bottom"/>
          </w:tcPr>
          <w:p>
            <w:pPr>
              <w:spacing w:after="0"/>
              <w:rPr>
                <w:sz w:val="21"/>
                <w:szCs w:val="21"/>
                <w:color w:val="auto"/>
              </w:rPr>
            </w:pP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6,502</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Sponsor Earnout Liability</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methods and assumptions were used to estimate the fair values:</w:t>
      </w:r>
    </w:p>
    <w:p>
      <w:pPr>
        <w:spacing w:after="0" w:line="216" w:lineRule="exact"/>
        <w:rPr>
          <w:sz w:val="20"/>
          <w:szCs w:val="20"/>
          <w:color w:val="auto"/>
        </w:rPr>
      </w:pPr>
    </w:p>
    <w:p>
      <w:pPr>
        <w:jc w:val="both"/>
        <w:ind w:left="660" w:hanging="328"/>
        <w:spacing w:after="0" w:line="257"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carrying values of cash and cash equivalents, restricted cash, accounts receivable, prepaid expenses and other current assets, accounts payable, and accrued expenses and other liabilities are considered to approximate their fair values due to the short term nature of these items.</w:t>
      </w:r>
    </w:p>
    <w:p>
      <w:pPr>
        <w:spacing w:after="0" w:line="192" w:lineRule="exact"/>
        <w:rPr>
          <w:rFonts w:ascii="Arial" w:cs="Arial" w:eastAsia="Arial" w:hAnsi="Arial"/>
          <w:sz w:val="20"/>
          <w:szCs w:val="20"/>
          <w:color w:val="auto"/>
        </w:rPr>
      </w:pPr>
    </w:p>
    <w:p>
      <w:pPr>
        <w:ind w:left="660" w:hanging="328"/>
        <w:spacing w:after="0" w:line="25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fair values of the PIPE Warrant, the Liberty Warrants and Liberty Advisory Fee Warrant have been estimated using the Black-Scholes model. Significant unobservable inputs include:</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Time to expiry - 3.6 years</w:t>
      </w:r>
    </w:p>
    <w:p>
      <w:pPr>
        <w:spacing w:after="0" w:line="4"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Volatility - 57%</w:t>
      </w:r>
    </w:p>
    <w:p>
      <w:pPr>
        <w:sectPr>
          <w:pgSz w:w="11900" w:h="16838" w:orient="portrait"/>
          <w:cols w:equalWidth="0" w:num="1">
            <w:col w:w="11240"/>
          </w:cols>
          <w:pgMar w:left="320" w:top="115" w:right="339" w:bottom="1076"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076"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SATELLOGIC INC.</w:t>
      </w:r>
    </w:p>
    <w:p>
      <w:pPr>
        <w:spacing w:after="0" w:line="28" w:lineRule="exact"/>
        <w:rPr>
          <w:sz w:val="20"/>
          <w:szCs w:val="20"/>
          <w:color w:val="auto"/>
        </w:rPr>
      </w:pPr>
    </w:p>
    <w:p>
      <w:pPr>
        <w:jc w:val="center"/>
        <w:ind w:left="340" w:right="2220"/>
        <w:spacing w:after="0" w:line="253" w:lineRule="auto"/>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color w:val="auto"/>
        </w:rPr>
        <w:t>(Expressed in thousands of US dollars, except per share data, unless otherwise stated) (Unaudited)</w:t>
      </w:r>
    </w:p>
    <w:p>
      <w:pPr>
        <w:spacing w:after="0" w:line="318"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Risk free rate of return: 4.4%</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values of the Sponsor Earnout has been estimated using the Monte Carlo model. Significant unobservable inputs include:</w:t>
      </w:r>
    </w:p>
    <w:p>
      <w:pPr>
        <w:spacing w:after="0" w:line="38"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Time to expiry - 3.6 years</w:t>
      </w:r>
    </w:p>
    <w:p>
      <w:pPr>
        <w:spacing w:after="0" w:line="4"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Volatility - 57%</w:t>
      </w:r>
    </w:p>
    <w:p>
      <w:pPr>
        <w:spacing w:after="0" w:line="8"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Risk free rate of return: 4.4%</w:t>
      </w:r>
    </w:p>
    <w:p>
      <w:pPr>
        <w:spacing w:after="0" w:line="213" w:lineRule="exact"/>
        <w:rPr>
          <w:rFonts w:ascii="Arial" w:cs="Arial" w:eastAsia="Arial" w:hAnsi="Arial"/>
          <w:sz w:val="20"/>
          <w:szCs w:val="20"/>
          <w:color w:val="auto"/>
        </w:rPr>
      </w:pPr>
    </w:p>
    <w:p>
      <w:pPr>
        <w:ind w:left="660" w:right="20" w:hanging="328"/>
        <w:spacing w:after="0" w:line="254"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fair values of the </w:t>
      </w:r>
      <w:r>
        <w:rPr>
          <w:rFonts w:ascii="Arial" w:cs="Arial" w:eastAsia="Arial" w:hAnsi="Arial"/>
          <w:sz w:val="20"/>
          <w:szCs w:val="20"/>
          <w:i w:val="1"/>
          <w:iCs w:val="1"/>
          <w:color w:val="auto"/>
        </w:rPr>
        <w:t>$8.63</w:t>
      </w:r>
      <w:r>
        <w:rPr>
          <w:rFonts w:ascii="Arial" w:cs="Arial" w:eastAsia="Arial" w:hAnsi="Arial"/>
          <w:sz w:val="20"/>
          <w:szCs w:val="20"/>
          <w:color w:val="auto"/>
        </w:rPr>
        <w:t xml:space="preserve"> Warrants were determined using quoted prices in the active warrant market. Significant unobservable inputs include:</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Time to expiry - 3.6 years</w:t>
      </w:r>
    </w:p>
    <w:p>
      <w:pPr>
        <w:spacing w:after="0" w:line="4"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Volatility - 52%</w:t>
      </w:r>
    </w:p>
    <w:p>
      <w:pPr>
        <w:spacing w:after="0" w:line="8" w:lineRule="exact"/>
        <w:rPr>
          <w:rFonts w:ascii="Arial" w:cs="Arial" w:eastAsia="Arial" w:hAnsi="Arial"/>
          <w:sz w:val="20"/>
          <w:szCs w:val="20"/>
          <w:color w:val="auto"/>
        </w:rPr>
      </w:pP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Risk free rate of return: 4.4%</w:t>
      </w:r>
    </w:p>
    <w:p>
      <w:pPr>
        <w:spacing w:after="0" w:line="213" w:lineRule="exact"/>
        <w:rPr>
          <w:rFonts w:ascii="Arial" w:cs="Arial" w:eastAsia="Arial" w:hAnsi="Arial"/>
          <w:sz w:val="20"/>
          <w:szCs w:val="20"/>
          <w:color w:val="auto"/>
        </w:rPr>
      </w:pPr>
    </w:p>
    <w:p>
      <w:pPr>
        <w:jc w:val="both"/>
        <w:ind w:left="660" w:hanging="328"/>
        <w:spacing w:after="0" w:line="25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carrying value of operating lease liabilities is calculated as the present value of lease payments, discounted at its incremental borrowing rate at the lease commencement date. We consider that the incremental borrowing rate remained unchanged, therefore the carrying amount of operating lease liabilities approximates their fair value.</w:t>
      </w:r>
    </w:p>
    <w:p>
      <w:pPr>
        <w:spacing w:after="0" w:line="19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the fair value of Level 3 liabilities during the six months ended June 30, 2023 and 2022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Liberty Warrants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89"/>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and Liberty</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Advisory Fee</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Warrant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PIPE Warrant</w:t>
            </w: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Columbia Warrant</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Sponsor Earnout</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rPr>
              <w:t>Forfeiture Earnout</w:t>
            </w:r>
          </w:p>
        </w:tc>
        <w:tc>
          <w:tcPr>
            <w:tcW w:w="20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Cantor Loan</w:t>
            </w:r>
          </w:p>
        </w:tc>
      </w:tr>
      <w:tr>
        <w:trPr>
          <w:trHeight w:val="25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At January 1, 2022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7,522</w:t>
            </w:r>
          </w:p>
        </w:tc>
      </w:tr>
      <w:tr>
        <w:trPr>
          <w:trHeight w:val="233"/>
        </w:trPr>
        <w:tc>
          <w:tcPr>
            <w:tcW w:w="1980" w:type="dxa"/>
            <w:vAlign w:val="bottom"/>
          </w:tcPr>
          <w:p>
            <w:pPr>
              <w:ind w:left="20"/>
              <w:spacing w:after="0"/>
              <w:rPr>
                <w:sz w:val="20"/>
                <w:szCs w:val="20"/>
                <w:color w:val="auto"/>
              </w:rPr>
            </w:pPr>
            <w:r>
              <w:rPr>
                <w:rFonts w:ascii="Arial" w:cs="Arial" w:eastAsia="Arial" w:hAnsi="Arial"/>
                <w:sz w:val="16"/>
                <w:szCs w:val="16"/>
                <w:color w:val="auto"/>
              </w:rPr>
              <w:t>Issues</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 xml:space="preserve">Remeasurement (gain)/loss </w:t>
            </w:r>
            <w:r>
              <w:rPr>
                <w:rFonts w:ascii="Arial" w:cs="Arial" w:eastAsia="Arial" w:hAnsi="Arial"/>
                <w:sz w:val="21"/>
                <w:szCs w:val="21"/>
                <w:color w:val="auto"/>
                <w:w w:val="88"/>
                <w:vertAlign w:val="superscript"/>
              </w:rPr>
              <w:t>(1)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33"/>
        </w:trPr>
        <w:tc>
          <w:tcPr>
            <w:tcW w:w="1980" w:type="dxa"/>
            <w:vAlign w:val="bottom"/>
          </w:tcPr>
          <w:p>
            <w:pPr>
              <w:ind w:left="20"/>
              <w:spacing w:after="0"/>
              <w:rPr>
                <w:sz w:val="20"/>
                <w:szCs w:val="20"/>
                <w:color w:val="auto"/>
              </w:rPr>
            </w:pPr>
            <w:r>
              <w:rPr>
                <w:rFonts w:ascii="Arial" w:cs="Arial" w:eastAsia="Arial" w:hAnsi="Arial"/>
                <w:sz w:val="16"/>
                <w:szCs w:val="16"/>
                <w:color w:val="auto"/>
              </w:rPr>
              <w:t>Write-off of deferred costs</w:t>
            </w:r>
          </w:p>
        </w:tc>
        <w:tc>
          <w:tcPr>
            <w:tcW w:w="1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Settlements </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(124,805)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At June 30, 2022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15,377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952</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3,111</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3"/>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At January 1, 2023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6,191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1,353</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3"/>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8"/>
              </w:rPr>
              <w:t xml:space="preserve">Remeasurement (gain)/loss </w:t>
            </w:r>
            <w:r>
              <w:rPr>
                <w:rFonts w:ascii="Arial" w:cs="Arial" w:eastAsia="Arial" w:hAnsi="Arial"/>
                <w:sz w:val="21"/>
                <w:szCs w:val="21"/>
                <w:color w:val="auto"/>
                <w:w w:val="88"/>
                <w:vertAlign w:val="superscript"/>
              </w:rPr>
              <w:t>(1)</w:t>
            </w: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At June 30, 2023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504</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Recognized in the Condensed Consolidated Statements of Operations and Comprehensive Loss for the six months ended June 30, 2023 and 2022, respectively.</w:t>
      </w:r>
    </w:p>
    <w:p>
      <w:pPr>
        <w:ind w:left="320" w:hanging="312"/>
        <w:spacing w:after="0" w:line="191" w:lineRule="auto"/>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These liabilities were settled in connection with the Merger. See Note 4 (Recapitalization Transaction).</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There were no transfers between Level 1 and Level 2 during the six months ended June 30,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SATELLOGIC INC.</w:t>
      </w:r>
    </w:p>
    <w:p>
      <w:pPr>
        <w:spacing w:after="0" w:line="28" w:lineRule="exact"/>
        <w:rPr>
          <w:sz w:val="20"/>
          <w:szCs w:val="20"/>
          <w:color w:val="auto"/>
        </w:rPr>
      </w:pPr>
    </w:p>
    <w:p>
      <w:pPr>
        <w:jc w:val="center"/>
        <w:ind w:left="340" w:right="2220"/>
        <w:spacing w:after="0" w:line="253" w:lineRule="auto"/>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color w:val="auto"/>
        </w:rPr>
        <w:t>(Expressed in thousands of US dollars, except per share data, unless otherwise stated) (Unaudited)</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Related Parties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had convertible notes with certain related parties that were settled in connection with the Merger. See Note 4 (Reverse Recapitalization).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the associated finance costs as follows:</w:t>
      </w:r>
    </w:p>
    <w:p>
      <w:pPr>
        <w:spacing w:after="0" w:line="70"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29210</wp:posOffset>
            </wp:positionV>
            <wp:extent cx="1937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3" w:lineRule="exact"/>
        <w:rPr>
          <w:sz w:val="20"/>
          <w:szCs w:val="20"/>
          <w:color w:val="auto"/>
        </w:rPr>
      </w:pPr>
    </w:p>
    <w:p>
      <w:pPr>
        <w:ind w:left="8760"/>
        <w:spacing w:after="0"/>
        <w:tabs>
          <w:tab w:leader="none" w:pos="103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Convertible notes from related parties</w:t>
      </w:r>
    </w:p>
    <w:p>
      <w:pPr>
        <w:spacing w:after="0" w:line="63" w:lineRule="exact"/>
        <w:rPr>
          <w:sz w:val="20"/>
          <w:szCs w:val="20"/>
          <w:color w:val="auto"/>
        </w:rPr>
      </w:pPr>
    </w:p>
    <w:p>
      <w:pPr>
        <w:ind w:left="20"/>
        <w:spacing w:after="0"/>
        <w:tabs>
          <w:tab w:leader="none" w:pos="8180" w:val="left"/>
          <w:tab w:leader="none" w:pos="9420" w:val="left"/>
          <w:tab w:leader="none" w:pos="9780" w:val="left"/>
          <w:tab w:leader="none" w:pos="11000" w:val="left"/>
        </w:tabs>
        <w:rPr>
          <w:sz w:val="20"/>
          <w:szCs w:val="20"/>
          <w:color w:val="auto"/>
        </w:rPr>
      </w:pPr>
      <w:r>
        <w:rPr>
          <w:rFonts w:ascii="Arial" w:cs="Arial" w:eastAsia="Arial" w:hAnsi="Arial"/>
          <w:sz w:val="16"/>
          <w:szCs w:val="16"/>
          <w:color w:val="auto"/>
        </w:rPr>
        <w:t>Interest expense on amounts owed to related parties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4"/>
          <w:szCs w:val="14"/>
          <w:color w:val="auto"/>
        </w:rPr>
        <w:t>44</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There are no sales or purchases transactions with entities which have significant influence over us or our key management personnel.</w:t>
      </w:r>
    </w:p>
    <w:p>
      <w:pPr>
        <w:spacing w:after="0" w:line="279" w:lineRule="exact"/>
        <w:rPr>
          <w:sz w:val="20"/>
          <w:szCs w:val="20"/>
          <w:color w:val="auto"/>
        </w:rPr>
      </w:pPr>
    </w:p>
    <w:p>
      <w:pPr>
        <w:ind w:right="800"/>
        <w:spacing w:after="0" w:line="274" w:lineRule="auto"/>
        <w:rPr>
          <w:sz w:val="20"/>
          <w:szCs w:val="20"/>
          <w:color w:val="auto"/>
        </w:rPr>
      </w:pPr>
      <w:r>
        <w:rPr>
          <w:rFonts w:ascii="Arial" w:cs="Arial" w:eastAsia="Arial" w:hAnsi="Arial"/>
          <w:sz w:val="20"/>
          <w:szCs w:val="20"/>
          <w:color w:val="auto"/>
        </w:rPr>
        <w:t>See description of transactions with CF&amp;Co and Liberty Investment as part of the Merger Transaction described in Note 4 (Reverse Recapitalization).</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made purchases totaling $1.4 million from our equity method investee, OS, in the six months ended June 30, 2023 and there was $0.8 million owed to OS and included in accounts payable at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We may be named from time to time as a party to lawsuits arising in the ordinary course of business related to our sales, marketing, and the provision of our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June 30, 2023 and December 31, 2022, we are not aware of any contingent liabilities that should be reflected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15" w:right="339" w:bottom="1440" w:gutter="0" w:footer="0" w:header="0"/>
        </w:sectPr>
      </w:pPr>
    </w:p>
    <w:bookmarkStart w:id="31" w:name="page32"/>
    <w:bookmarkEnd w:id="31"/>
    <w:p>
      <w:pPr>
        <w:jc w:val="both"/>
        <w:ind w:right="20"/>
        <w:spacing w:after="0" w:line="281" w:lineRule="auto"/>
        <w:rPr>
          <w:sz w:val="20"/>
          <w:szCs w:val="20"/>
          <w:color w:val="auto"/>
        </w:rPr>
      </w:pPr>
      <w:r>
        <w:rPr>
          <w:rFonts w:ascii="Arial" w:cs="Arial" w:eastAsia="Arial" w:hAnsi="Arial"/>
          <w:sz w:val="20"/>
          <w:szCs w:val="20"/>
          <w:b w:val="1"/>
          <w:bCs w:val="1"/>
          <w:color w:val="auto"/>
        </w:rPr>
        <w:t>Exhibit 99.2 - MANAGEMENT’S DISCUSSION AND ANALYSIS OF FINANCIAL CONDITION AND RESULTS OF OPERATIONS (“MD&amp;A”)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Cautionary Note Regarding Forward-Looking Statements</w:t>
      </w:r>
    </w:p>
    <w:p>
      <w:pPr>
        <w:spacing w:after="0" w:line="2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This MD&amp;A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w:t>
      </w:r>
    </w:p>
    <w:p>
      <w:pPr>
        <w:spacing w:after="0" w:line="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including statements concerning possible or assumed future actions, business strategies, events or results of operations, are forward-looking statements. Forward-looking statements in this Report include, but are not limited to, statements about:</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future financial performance, including funding expansion plans and opportunities;</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continue as a going concern;</w:t>
      </w:r>
    </w:p>
    <w:p>
      <w:pPr>
        <w:spacing w:after="0" w:line="4" w:lineRule="exact"/>
        <w:rPr>
          <w:rFonts w:ascii="Arial" w:cs="Arial" w:eastAsia="Arial" w:hAnsi="Arial"/>
          <w:sz w:val="20"/>
          <w:szCs w:val="20"/>
          <w:color w:val="auto"/>
        </w:rPr>
      </w:pPr>
    </w:p>
    <w:p>
      <w:pPr>
        <w:ind w:left="660" w:hanging="328"/>
        <w:spacing w:after="0" w:line="253"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changes in our strategy, including our focus on the U.S. markets, future operations, financial condition, estimated revenues and losses, projected costs, prospects and plans;</w:t>
      </w:r>
    </w:p>
    <w:p>
      <w:pPr>
        <w:spacing w:after="0" w:line="7" w:lineRule="exact"/>
        <w:rPr>
          <w:rFonts w:ascii="Arial" w:cs="Arial" w:eastAsia="Arial" w:hAnsi="Arial"/>
          <w:sz w:val="20"/>
          <w:szCs w:val="20"/>
          <w:color w:val="auto"/>
        </w:rPr>
      </w:pPr>
    </w:p>
    <w:p>
      <w:pPr>
        <w:ind w:left="660" w:hanging="328"/>
        <w:spacing w:after="0" w:line="24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ability to coordinate with the U.S. National Oceanic and Atmospheric Administration (“NOAA”) Commercial Remote Sensing Regulatory Affairs agency to assure an understanding of regulations as they evolve;</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the implementation, market acceptance and success of ours business model;</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expectations surrounding capital requirements as we seek to build and launch more satellites;</w:t>
      </w:r>
    </w:p>
    <w:p>
      <w:pPr>
        <w:spacing w:after="0" w:line="6" w:lineRule="exact"/>
        <w:rPr>
          <w:rFonts w:ascii="Arial" w:cs="Arial" w:eastAsia="Arial" w:hAnsi="Arial"/>
          <w:sz w:val="22"/>
          <w:szCs w:val="22"/>
          <w:color w:val="auto"/>
        </w:rPr>
      </w:pPr>
    </w:p>
    <w:p>
      <w:pPr>
        <w:ind w:left="660" w:hanging="328"/>
        <w:spacing w:after="0" w:line="23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expectations surrounding the growth of our commercial platform as a part of our revenues;</w:t>
      </w:r>
    </w:p>
    <w:p>
      <w:pPr>
        <w:spacing w:after="0" w:line="20"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1"/>
          <w:szCs w:val="21"/>
          <w:color w:val="auto"/>
        </w:rPr>
      </w:pPr>
      <w:r>
        <w:rPr>
          <w:rFonts w:ascii="Arial" w:cs="Arial" w:eastAsia="Arial" w:hAnsi="Arial"/>
          <w:sz w:val="19"/>
          <w:szCs w:val="19"/>
          <w:color w:val="auto"/>
        </w:rPr>
        <w:t>our ability to conduct remaps of the planet with increasing regularity or frequency as we increase the number of our satellites;</w:t>
      </w:r>
    </w:p>
    <w:p>
      <w:pPr>
        <w:spacing w:after="0" w:line="25" w:lineRule="exact"/>
        <w:rPr>
          <w:rFonts w:ascii="Arial" w:cs="Arial" w:eastAsia="Arial" w:hAnsi="Arial"/>
          <w:sz w:val="21"/>
          <w:szCs w:val="21"/>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ability to productize our internal data analytics platform;</w:t>
      </w:r>
    </w:p>
    <w:p>
      <w:pPr>
        <w:spacing w:after="0" w:line="6" w:lineRule="exact"/>
        <w:rPr>
          <w:rFonts w:ascii="Arial" w:cs="Arial" w:eastAsia="Arial" w:hAnsi="Arial"/>
          <w:sz w:val="22"/>
          <w:szCs w:val="22"/>
          <w:color w:val="auto"/>
        </w:rPr>
      </w:pPr>
    </w:p>
    <w:p>
      <w:pPr>
        <w:ind w:left="660" w:hanging="328"/>
        <w:spacing w:after="0" w:line="237"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plans to grow our constellation of satellites;</w:t>
      </w:r>
    </w:p>
    <w:p>
      <w:pPr>
        <w:spacing w:after="0" w:line="6" w:lineRule="exact"/>
        <w:rPr>
          <w:rFonts w:ascii="Arial" w:cs="Arial" w:eastAsia="Arial" w:hAnsi="Arial"/>
          <w:sz w:val="22"/>
          <w:szCs w:val="22"/>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expected performance of our Space Systems business line;</w:t>
      </w:r>
    </w:p>
    <w:p>
      <w:pPr>
        <w:spacing w:after="0" w:line="10"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ability to launch satellites less expensively than our competitors;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0"/>
          <w:szCs w:val="20"/>
          <w:color w:val="auto"/>
        </w:rPr>
        <w:t>our ability to increase satellite production to meet demand and reach our mapping goals.</w:t>
      </w: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Many actual events and circumstances are beyond the control of the Company. Many factors could cause actual future results to differ materially from the forward-looking statements in this Report, including but not limited to:</w:t>
      </w:r>
    </w:p>
    <w:p>
      <w:pPr>
        <w:spacing w:after="0" w:line="21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generate revenue as expected;</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continue as a going concern;</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execute our strategic realignment and focus on the U.S. market;</w:t>
      </w:r>
    </w:p>
    <w:p>
      <w:pPr>
        <w:spacing w:after="0" w:line="8" w:lineRule="exact"/>
        <w:rPr>
          <w:rFonts w:ascii="Arial" w:cs="Arial" w:eastAsia="Arial" w:hAnsi="Arial"/>
          <w:sz w:val="20"/>
          <w:szCs w:val="20"/>
          <w:color w:val="auto"/>
        </w:rPr>
      </w:pPr>
    </w:p>
    <w:p>
      <w:pPr>
        <w:ind w:left="660" w:right="240" w:hanging="328"/>
        <w:spacing w:after="0" w:line="218"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effectively market and sell our EO services and to convert contracted revenues and our pipeline of potential contracts into actual revenues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ability to obtain the requisite approvals to license our constellation with the NOAA;</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potential loss of one or more of our largest customers;</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considerable time and expense related to our sales efforts and the length and unpredictability of our sales cycle;</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and uncertainties associated with defense-related contracts;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related to our pricing structure;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43" w:right="339" w:bottom="1440" w:gutter="0" w:footer="0" w:header="0"/>
        </w:sectPr>
      </w:pPr>
    </w:p>
    <w:bookmarkStart w:id="32" w:name="page33"/>
    <w:bookmarkEnd w:id="32"/>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ability to scale production of our satellites as planned;</w:t>
      </w:r>
    </w:p>
    <w:p>
      <w:pPr>
        <w:spacing w:after="0" w:line="20"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unforeseen risks, challenges and uncertainties related to our expansion into new business lines;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dependence on third parties, including SpaceX, to transport and launch our satellites into space;</w:t>
      </w:r>
    </w:p>
    <w:p>
      <w:pPr>
        <w:spacing w:after="0" w:line="4"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reliance on third party vendors and manufacturers to build and provide certain satellite components, products, or services, and the inability of these vendors and manufacturers to meet our needs;</w:t>
      </w:r>
    </w:p>
    <w:p>
      <w:pPr>
        <w:spacing w:after="0" w:line="1" w:lineRule="exact"/>
        <w:rPr>
          <w:rFonts w:ascii="Arial" w:cs="Arial" w:eastAsia="Arial" w:hAnsi="Arial"/>
          <w:sz w:val="20"/>
          <w:szCs w:val="20"/>
          <w:color w:val="auto"/>
        </w:rPr>
      </w:pPr>
    </w:p>
    <w:p>
      <w:pPr>
        <w:ind w:left="660" w:hanging="328"/>
        <w:spacing w:after="0" w:line="251"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dependence on ground station and cloud-based computing infrastructure operated by third parties for value added services, and any errors, disruption, performance problems, or failure in their or our operational infrastructure;</w:t>
      </w: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 related to certain minimum service requirements in our customer contracts;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EO services and our dependence upon our ability to keep pace with the latest technological advances;</w:t>
      </w:r>
    </w:p>
    <w:p>
      <w:pPr>
        <w:spacing w:after="0" w:line="31" w:lineRule="exact"/>
        <w:rPr>
          <w:rFonts w:ascii="Arial" w:cs="Arial" w:eastAsia="Arial" w:hAnsi="Arial"/>
          <w:sz w:val="18"/>
          <w:szCs w:val="18"/>
          <w:color w:val="auto"/>
        </w:rPr>
      </w:pPr>
    </w:p>
    <w:p>
      <w:pPr>
        <w:ind w:left="660" w:hanging="328"/>
        <w:spacing w:after="0" w:line="249"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ability to identify suitable acquisition candidates or consummate acquisitions on acceptable terms, or our ability to successfully integrate acquisitions;</w:t>
      </w: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competition for geospatial intelligence, imagery and related data analytic products and services;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challenges with international operations or unexpected changes to the regulatory environment in certain markets;</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unknown defects or errors in our products;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related to the misconduct of our employees or other improper activities in which they may engage;</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related to the capital-intensive nature of our business and our ability to raise adequate capital to finance our business strategies;</w:t>
      </w:r>
    </w:p>
    <w:p>
      <w:pPr>
        <w:spacing w:after="0" w:line="36"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related to the failure of our customers to pay us in accordance with the terms of their agreements;</w:t>
      </w:r>
    </w:p>
    <w:p>
      <w:pPr>
        <w:spacing w:after="0" w:line="8"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uncertainties beyond our control related to the production, launch, commissioning, and/or operation of our satellites and related ground systems, software and analytic technologies;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the market for geospatial intelligence, imagery and related data analytics to achieve the growth potential we expect;</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related to our satellites and related equipment becoming impaired;</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risks related to the failure of our satellites to operate as intended;</w:t>
      </w:r>
    </w:p>
    <w:p>
      <w:pPr>
        <w:spacing w:after="0" w:line="4"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production and launch delays, launch failures, and damage or destruction to our satellites during launch;</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significant risks and uncertainties related to our insurance that may not be covered by insurance; and</w:t>
      </w:r>
    </w:p>
    <w:p>
      <w:pPr>
        <w:spacing w:after="0" w:line="8" w:lineRule="exact"/>
        <w:rPr>
          <w:rFonts w:ascii="Arial" w:cs="Arial" w:eastAsia="Arial" w:hAnsi="Arial"/>
          <w:sz w:val="20"/>
          <w:szCs w:val="20"/>
          <w:color w:val="auto"/>
        </w:rPr>
      </w:pPr>
    </w:p>
    <w:p>
      <w:pPr>
        <w:ind w:left="660" w:hanging="328"/>
        <w:spacing w:after="0" w:line="258"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impact of natural disasters, unusual or prolonged unfavorable weather conditions, epidemic outbreaks, terrorist acts and political events on our business and satellite launch schedules.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Risks, uncertainties and events may cause actual results to differ materially from the expectations described in our forward-looking statements.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The foregoing list of factors is not exhaustive. You should carefully consider the foregoing factors and the other risks and uncertainties described in Item 3.D “Risk Factors” of the Company’s Annual Report on Form 20-F filed on April 27, 2023 (our “2022 Annual Report”) and other documents filed or to be filed by the Company from time to time with the U.S. Securities and Exchange Commission (“SEC”). These filings identify and address other important risks and uncertainties that could cause actual events and results to differ materially from those contained in the forward-looking statements. Forward 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predecessor in interest was founded in 2010 and we were founded in 2014, to help solve some of the greatest challenges of our time: resource utilization and distribution. From tradeoffs between food, energy and water supplies, to monitoring the impact of natural disasters, global health and humanitarian crises in the midst of a looming climate emergency, access to a continually refreshed source of global, high-quality data is critical to confronting some of the world’s most crucial issues. We are committed to creating a fully automated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933" w:right="339" w:bottom="1440" w:gutter="0" w:footer="0" w:header="0"/>
        </w:sectPr>
      </w:pPr>
    </w:p>
    <w:bookmarkStart w:id="33" w:name="page34"/>
    <w:bookmarkEnd w:id="33"/>
    <w:p>
      <w:pPr>
        <w:jc w:val="both"/>
        <w:ind w:right="20"/>
        <w:spacing w:after="0" w:line="274" w:lineRule="auto"/>
        <w:rPr>
          <w:sz w:val="20"/>
          <w:szCs w:val="20"/>
          <w:color w:val="auto"/>
        </w:rPr>
      </w:pPr>
      <w:r>
        <w:rPr>
          <w:rFonts w:ascii="Arial" w:cs="Arial" w:eastAsia="Arial" w:hAnsi="Arial"/>
          <w:sz w:val="20"/>
          <w:szCs w:val="20"/>
          <w:color w:val="auto"/>
        </w:rPr>
        <w:t>searchable earth observation (“EO”) catalog, and we believe we are uniquely positioned to provide the data that is critical to better inform decision-making aimed at addressing these challenges.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are the first vertically integrated geospatial analytics company, and we are building the first scalable, fully automated EO platform with the ability, when scaled, to remap the entire planet at both high-frequency and high-resolution, providing accessible and affordable solutions for our customers. We plan to democratize access to geospatial data by providing planetary insights at what we believe to be the lowest cost in the industry, ultimately driving better decision-making across a broad range of industries including agriculture, forestry, energy, financial services, and cartography.</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created a highly scalable, vertically integrated and competitive operating model.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This vertical integration provides a significant cost advantage, enabling us to produce and launch satellites for less than one-tenth the cost of our competitors on average. Additionally, we own all our key intellectual property, and our patented technology allows us to capture approximately 10x more imagery than our competitors on average. Taken together, we are achieving over 60x better unit economics than our closest peers in the NewSpace sector and more than 100x better unit economics than legacy competitors. Additionally, we are well positioned to compete effectively in the existing EO market that is currently supply-constrained and consists primarily of government and defense and intelligence (“D&amp;I”) customers. At June 30, 2023, we have 38 commercial satellites in orbit. Of our 38 satellites as of the date of this report, 29 are presently delivering multispectral imagery and/or hyperspectral imagery, seven are in the process of being commissioned, one is used for testing, and one has subsequently deorbited in early September 2023. Over the near term, we will take a measured approach to expanding our constellation, with our long-term vision to reach a constellation size of approximately 200 satellites and to have the capability to conduct daily remaps of the entire planet.</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strategy is focused along three unique business lines: Asset Monitoring, Constellation-as-a-Service (“CaaS”), and Space Systems. These business lines will allow us to serve the existing EO market and begin to democratize access to a host of new EO customers.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In August 2023, we strategically realigned our business in an effort to capture high value opportunities in the U.S. market, focusing resources on what we believe to be our highest growth opportunities, while sustaining core customers and operating a lean organization.</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continue to expect that our Asset Monitoring business will represent the most predictable revenue stream, and we anticipate that it will be among the primary drivers of the business going forward. Every day, both government and commercial customers task our satellites around the world to monitor assets and to keep up with their changing reality. D&amp;I customers look at ports, airfields or build-up of military equipment; mining companies monitor the environmental impact of their operations; and insurance companies are interested in building baselines and quickly assessing property damage as it occurs. With the largest available sub-meter capacity, high quality imagery and superior unit economics, we can support a growing number of customers around the world.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CaaS business – that we previously referred to as Dedicated Satellite Constellation – offers governments around the world the ability to control satellites on top of specific areas of interest. We anticipate that our CaaS line of business will provide us with a strong recurring-revenue base in the government and D&amp;I market over time.</w:t>
      </w:r>
    </w:p>
    <w:p>
      <w:pPr>
        <w:spacing w:after="0" w:line="220"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In 2022, we established Space Systems, effectively satellite sales and support, to meet the needs of customers interested in our technology and capability that have a need or desire to own the satellites being utilized to capture imagery. As such, Space Systems leverages our ability to quickly build and launch high quality, sub-meter satellites at a low cost to meet the needs of our customers. We have built a vertically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49" w:right="3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20"/>
          <w:szCs w:val="20"/>
          <w:color w:val="auto"/>
        </w:rPr>
        <w:t>integrated satellite manufacturing capability that is critical in achieving our low-CAPEX cost and ultimately reaching our unit-economic targets for our Asset Monitoring business. Vertical integration enables us to manage our supply chain and navigate evolving global supply issues without having an adverse impact to our satellite manufacturing schedule. Our fast satellite build-to-launch cycles can progress from purchase order to commissioning in orbit in as little as eight months.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Currently, our revenue is derived primarily from selling imagery through our Asset Monitoring and CaaS lines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 Transaction</w:t>
      </w:r>
    </w:p>
    <w:p>
      <w:pPr>
        <w:spacing w:after="0" w:line="2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On January 25, 2022 (the “Closing Date”), Satellogic Inc. (“Satellogic” or the “Company”), a limited liability company incorporated under the laws of the British Virgin Islands (“BVI”), consummated the transactions contemplated by the Agreement and Plan of Merger dated as of July 5, 2021 (the “Merger Agreement” ), by and among the Company, CF Acquisition Corp. V, a Delaware corporation (“CF V and now known as “Satellogic V Inc.”), Ganymede Merger Sub 1 Inc., a business company with limited liability incorporated under the laws of the BVI and a direct wholly owned subsidiary of the Company (“Target Merger Sub”), Ganymede Merger Sub 2 Inc., a Delaware corporation and a direct wholly owned subsidiary of the Company (“SPAC Merger Sub”), and Nettar Group Inc. (d/b/a Satellogic), a limited liability company incorporated under the laws of the BVI (“Nettar”).</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Merger resulted in cash proceeds of $168 million, after transaction expenses and debt repayment, through the contribution of cash held in CF V’s trust account, net of redemptions by CF V’s public stockholders, and a concurrent PIPE offering led by SoftBank’s SBLA Advisers Corp. and CF&amp;Co., among other top-tier institutional investors, and the Liberty Investment. See Note 4 (Reverse Recapitalization) to the Condensed Consolidated Financial Statements for additional details.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Nettar Group Inc. is the holding company of Satellogic group prior to the Merger and was incorporated on October 7, 2014 under the laws of the BVI as an International Business Company. The registered office is located at Kingston Chambers BOX 173 C/O Maples Corporate Services BVI LTD Road Town, Tortola D8 VG1110.</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References to “Nettar” contained herein refer to Nettar Group Inc. prior to the mergers, and references to “the Company” or “Satellogic” refer to Satellogic Inc. prior to the mergers and to the combined company following the Merger.</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January 26, 2022, the combined company began trading under the name Satellogic Inc. Its common stock trades on Nasdaq under the ticker symbol "SATL" and its warrants trade on Nasdaq under the ticker symbol "SATLW".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Developments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January 2023, we began providing service under a $5.7 million, three-year, constellation-as-a-service sales agreement. Revenue is recognized over the contract term.</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March 2023, we partnered with SkyFi, a leading provider of EO data, to allow discerning EO customers to task our satellites directly through the SkyFi platform, expanding the availability of our affordable satellite imagery.</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July 30, 2023, we filed an application to license our constellation with the NOAA, which, if approved, will satisfy requirements for expanding business in the U.S. market enabling us to pursue U.S. government and allied contracts.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33" w:right="339" w:bottom="1440" w:gutter="0" w:footer="0" w:header="0"/>
        </w:sectPr>
      </w:pPr>
    </w:p>
    <w:bookmarkStart w:id="35" w:name="page36"/>
    <w:bookmarkEnd w:id="35"/>
    <w:p>
      <w:pPr>
        <w:jc w:val="both"/>
        <w:spacing w:after="0" w:line="267" w:lineRule="auto"/>
        <w:rPr>
          <w:sz w:val="20"/>
          <w:szCs w:val="20"/>
          <w:color w:val="auto"/>
        </w:rPr>
      </w:pPr>
      <w:r>
        <w:rPr>
          <w:rFonts w:ascii="Arial" w:cs="Arial" w:eastAsia="Arial" w:hAnsi="Arial"/>
          <w:sz w:val="19"/>
          <w:szCs w:val="19"/>
          <w:color w:val="auto"/>
        </w:rPr>
        <w:t>As mentioned above, in August 2023, we strategically realigned our business in an effort to capture high-value opportunities in the U.S. market, focusing resources on what we believe to be our highest growth opportunities, while sustaining core customers and operating a lean organization. To support this strategy, we appointed Matt Tirman, who previously served as our Chief Commercial Officer, to President. In his new role, Mr. Tirman will be primarily responsible for the execution of our realigned strategy and business plan as we pursue opportunities in the U.S. market. He will be assisted by our other recent appointments, Caitlin Kontgis, Senior Vice President of Commercial Growth, and Lorri Kohler, Senior Vice President of Operations.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September 2023, Satellogic partnered with SkyWatch, a leader in the remote sensing data technology industry, to bring our highest resolution commercially available EO data to customers via the EarthCache platform, further expanding access to our EO data. EarthCache enables customers to browse archive data, as well as task new satellite imagery.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Results of Operations</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briefly describes the components of revenue and expenses as presented in our Condensed Consolidated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are an early-stage revenue company with limited commercial operations, and our activities to date have been conducted in South America, Asia, Europe and North America. Currently, we conduct business through one operating segment. The accompanying unaudited interim condensed consolidated financial statements have been prepared in accordance with generally accepted accounting principles in the United States (“U.S. GAAP”) and the rules and regulations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All intercompany accounts and transactions have been eliminated in consolidation.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Condensed Consolidated Financial Statements have been prepared on a historical cost basis, except for certain financial instruments that are measured at fair values at the end of each reporting period, as explained in the significant accounting policies below. Historical cost is generally based on the fair value of the consideration given in exchange for goods and services. The Condensed Consolidated Financial Statements are presented in United States thousands of dollars (hereinafter “US dollars” or “$”).</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Revenue is currently derived from our Asset Monitoring and CaaS business lines. We sell our imagery to Asset Monitoring customers as a single task and recognize revenue at a point-in-time through, while we enter into arrangements with CaaS customers that provide a stand-ready commitment and recognize revenue over time.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 of sales includes direct costs related to ground stations, cloud and infrastructure costs and digital image processing.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General and administrative expenses consist of the costs related to salaries, wages and other benefits, professional fees and stock-based compensation expense related to our back-office functions. Also included in administrative expenses are bad debt expense and other administrative expenses.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76"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Research and development expenses consist of the costs related to salaries, wages and other benefits, professional fees, stock-based compensation expense and other research and development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expense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Depreciation expenses includes depreciation of satellites and other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operating expenses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operating expenses consist of salaries, wages and other benefits, professional fees and stock-based compensation related to our sales and marketing, production and mission operations functions.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Finance income (expense), net</w:t>
      </w:r>
    </w:p>
    <w:p>
      <w:pPr>
        <w:spacing w:after="0" w:line="216"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Finance income (expense), net is primarily comprised of interest income earned on our cash and cash equivalents during the six months ended June 30, 2023 and expense related to Debt prior to the Merger Transaction during the six months ended June 30, 2022.</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fair value of financial instruments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Company’s warrant and earnout liabilities are subject to remeasurement to fair value at each balance sheet date. Changes in the fair value of these liabilities are recorded to the Change in fair value of financial instruments in the Condensed Consolidated Statements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Other income, net consists mainly of differences related to foreign exchange gains and losses.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We are not subject to taxation in the BVI, due to the 0% statutory tax rate, but we may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Key Financial Performance Indicators</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monitor a number of financial performance and liquidity measures on a regular basis in order to track the progress of our business. Included in these financial performance and liquidity measures are the non-GAAP measures, Non-GAAP EBITDA, Non-GAAP Adjusted EBITDA and Non-GAAP Free Cash Flow. We believe these measures provide analysts, investors and management with helpful information regarding the underlying operating performance of our business, as they remove the impact of items that we believe are not 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capital expenditures and other non-cash items (i.e., depreciation, embedded derivatives, debt extinguishment and stock-based compensation) which may vary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149" w:right="3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20"/>
          <w:szCs w:val="20"/>
          <w:color w:val="auto"/>
        </w:rPr>
        <w:t>different companies for reasons unrelated to operating performance. However, different companies may define these terms differently and accordingly comparisons might not be accurate. Non-GAAP EBITDA, Non-GAAP Adjusted EBITDA and Non-GAAP Free Cash Flow are not intended to be a substitute for any GAAP financial measure. For the definitions of Non-GAAP EBITDA, Non-GAAP Adjusted EBITDA and Non-GAAP Free Cash Flow and reconciliations to the most directly comparable GAAP measure, see “Non-GAAP Financial Measure Reconciliations” below.</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The results of certain key business metrics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(8,121)</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(26,673)</w:t>
            </w:r>
          </w:p>
        </w:tc>
      </w:tr>
      <w:tr>
        <w:trPr>
          <w:trHeight w:val="24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(34,487)</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(50,222)</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Comparison of Results for the Six Months Ended June 30, 2023 and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288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rPr>
              <w:t>2023 vs 2022</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Percent Change</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sales, exclusive of depreciation shown separately below</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r>
      <w:tr>
        <w:trPr>
          <w:trHeight w:val="213"/>
        </w:trPr>
        <w:tc>
          <w:tcPr>
            <w:tcW w:w="498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(14,742)</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(60)</w:t>
            </w: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r>
      <w:tr>
        <w:trPr>
          <w:trHeight w:val="213"/>
        </w:trPr>
        <w:tc>
          <w:tcPr>
            <w:tcW w:w="498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2,125</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33</w:t>
            </w: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06"/>
        </w:trPr>
        <w:tc>
          <w:tcPr>
            <w:tcW w:w="49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51,875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(12,380)</w:t>
            </w:r>
          </w:p>
        </w:tc>
        <w:tc>
          <w:tcPr>
            <w:tcW w:w="16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(24)</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(36,311)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(49,487)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13,176</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r>
      <w:tr>
        <w:trPr>
          <w:trHeight w:val="19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net</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income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r>
      <w:tr>
        <w:trPr>
          <w:trHeight w:val="213"/>
        </w:trPr>
        <w:tc>
          <w:tcPr>
            <w:tcW w:w="4980" w:type="dxa"/>
            <w:vAlign w:val="bottom"/>
          </w:tcPr>
          <w:p>
            <w:pPr>
              <w:ind w:left="240"/>
              <w:spacing w:after="0"/>
              <w:rPr>
                <w:sz w:val="20"/>
                <w:szCs w:val="20"/>
                <w:color w:val="auto"/>
              </w:rPr>
            </w:pPr>
            <w:r>
              <w:rPr>
                <w:rFonts w:ascii="Arial" w:cs="Arial" w:eastAsia="Arial" w:hAnsi="Arial"/>
                <w:sz w:val="16"/>
                <w:szCs w:val="16"/>
                <w:color w:val="auto"/>
              </w:rPr>
              <w:t>Change in fair value of financial instruments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(39,016)</w:t>
            </w:r>
          </w:p>
        </w:tc>
        <w:tc>
          <w:tcPr>
            <w:tcW w:w="1680" w:type="dxa"/>
            <w:vAlign w:val="bottom"/>
            <w:gridSpan w:val="2"/>
          </w:tcPr>
          <w:p>
            <w:pPr>
              <w:jc w:val="right"/>
              <w:ind w:right="79"/>
              <w:spacing w:after="0"/>
              <w:rPr>
                <w:sz w:val="20"/>
                <w:szCs w:val="20"/>
                <w:color w:val="auto"/>
              </w:rPr>
            </w:pPr>
            <w:r>
              <w:rPr>
                <w:rFonts w:ascii="Arial" w:cs="Arial" w:eastAsia="Arial" w:hAnsi="Arial"/>
                <w:sz w:val="16"/>
                <w:szCs w:val="16"/>
                <w:color w:val="auto"/>
              </w:rPr>
              <w:t>(87)</w:t>
            </w:r>
          </w:p>
        </w:tc>
      </w:tr>
      <w:tr>
        <w:trPr>
          <w:trHeight w:val="219"/>
        </w:trPr>
        <w:tc>
          <w:tcPr>
            <w:tcW w:w="4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270</w:t>
            </w:r>
          </w:p>
        </w:tc>
      </w:tr>
      <w:tr>
        <w:trPr>
          <w:trHeight w:val="206"/>
        </w:trPr>
        <w:tc>
          <w:tcPr>
            <w:tcW w:w="49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(34,925)</w:t>
            </w:r>
          </w:p>
        </w:tc>
        <w:tc>
          <w:tcPr>
            <w:tcW w:w="16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(80)</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(21,749)</w:t>
            </w:r>
          </w:p>
        </w:tc>
        <w:tc>
          <w:tcPr>
            <w:tcW w:w="1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r>
      <w:tr>
        <w:trPr>
          <w:trHeight w:val="21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8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(1)</w:t>
            </w:r>
          </w:p>
        </w:tc>
      </w:tr>
      <w:tr>
        <w:trPr>
          <w:trHeight w:val="23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(21,730)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268 %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Revenue increased $0.8 million, or 33%, to $3.2 million for the six months ended June 30, 2023 from $2.4 million for the six months ended June 30, 2022. The Company recognized revenue primarily from the selling of our imagery through our Asset Monitoring and CaaS lines of business. The increase was primarily due to a $0.8 million increase related to a new CaaS contract.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149" w:right="339" w:bottom="1440" w:gutter="0" w:footer="0" w:header="0"/>
          <w:type w:val="continuous"/>
        </w:sectPr>
      </w:pPr>
    </w:p>
    <w:bookmarkStart w:id="38" w:name="page39"/>
    <w:bookmarkEnd w:id="38"/>
    <w:p>
      <w:pPr>
        <w:jc w:val="both"/>
        <w:spacing w:after="0" w:line="299" w:lineRule="auto"/>
        <w:rPr>
          <w:sz w:val="20"/>
          <w:szCs w:val="20"/>
          <w:color w:val="auto"/>
        </w:rPr>
      </w:pPr>
      <w:r>
        <w:rPr>
          <w:rFonts w:ascii="Arial" w:cs="Arial" w:eastAsia="Arial" w:hAnsi="Arial"/>
          <w:sz w:val="18"/>
          <w:szCs w:val="18"/>
          <w:color w:val="auto"/>
        </w:rPr>
        <w:t>Cost of sales, exclusive of depreciation, increased $0.8 million, or 59%, to $2.1 million for the six months ended June 30, 2023 from $1.3 million for the six months ended June 30, 2022. The increase was related to a $0.5 million increase in cloud services costs and a $0.3 million increase in ground station costs associated with our larger constellation of satellites in orbit relative to the prior year period.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9"/>
                <w:szCs w:val="19"/>
                <w:color w:val="auto"/>
              </w:rPr>
            </w:pPr>
          </w:p>
        </w:tc>
        <w:tc>
          <w:tcPr>
            <w:tcW w:w="290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2023 vs 2022</w:t>
            </w:r>
          </w:p>
        </w:tc>
      </w:tr>
      <w:tr>
        <w:trPr>
          <w:trHeight w:val="23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Professional fees related to Merger transaction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11,862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(11,862)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9</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wages, and other benefits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Bad debt expense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(1,393)</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(96)</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Insurance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r>
      <w:tr>
        <w:trPr>
          <w:trHeight w:val="24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administrative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1700" w:type="dxa"/>
            <w:vAlign w:val="bottom"/>
            <w:tcBorders>
              <w:bottom w:val="single" w:sz="8" w:color="CCEEFF"/>
            </w:tcBorders>
            <w:gridSpan w:val="2"/>
          </w:tcPr>
          <w:p>
            <w:pPr>
              <w:jc w:val="right"/>
              <w:ind w:right="79"/>
              <w:spacing w:after="0"/>
              <w:rPr>
                <w:sz w:val="20"/>
                <w:szCs w:val="20"/>
                <w:color w:val="auto"/>
              </w:rPr>
            </w:pPr>
            <w:r>
              <w:rPr>
                <w:rFonts w:ascii="Arial" w:cs="Arial" w:eastAsia="Arial" w:hAnsi="Arial"/>
                <w:sz w:val="16"/>
                <w:szCs w:val="16"/>
                <w:color w:val="auto"/>
              </w:rPr>
              <w:t>(53)</w:t>
            </w: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(14,742)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General and administrative expenses decreased $14.7 million, or 60%, to $9.9 million during the six months ended June 30, 2023 from $24.6 million for the six months ended June 30, 2022. The decrease was primarily due to $11.9 million of professional fees, which were elevated during the six months ended June 30, 2022 as a result of the Merger, as well as a $1.4 million decrease in bad debt expense, and a $0.6 million decrease in insurance costs due to rate improvement on certain policies.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9"/>
                <w:szCs w:val="19"/>
                <w:color w:val="auto"/>
              </w:rPr>
            </w:pPr>
          </w:p>
        </w:tc>
        <w:tc>
          <w:tcPr>
            <w:tcW w:w="290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2023 vs 2022</w:t>
            </w:r>
          </w:p>
        </w:tc>
      </w:tr>
      <w:tr>
        <w:trPr>
          <w:trHeight w:val="23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Salaries, wages, and other benefits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3,927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(23)</w:t>
            </w: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research and development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5,827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5,716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Research and development expenses increased slightly by $0.1 million, or 2%, to $5.8 million during the six months ended June 30, 2023 from $5.7 million for the six months ended June 30, 2022. The increase was due primarily to severance costs in the amount of $0.7 million, partially offset by a decrease in stock-based compensation in the amount of $0.4 million, both resulting from workforce reductions during the six months ended June 30, 2023.</w:t>
      </w:r>
    </w:p>
    <w:p>
      <w:pPr>
        <w:spacing w:after="0" w:line="199"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Depreciation expense increased $2.1 million, or 33%, to $8.6 million during the six months ended June 30, 2023 from $6.5 million for the six months ended June 30, 2022. The increase was due primarily to the larger constellation of satellites in orbit during the current period.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149"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Other Operating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9"/>
                <w:szCs w:val="19"/>
                <w:color w:val="auto"/>
              </w:rPr>
            </w:pPr>
          </w:p>
        </w:tc>
        <w:tc>
          <w:tcPr>
            <w:tcW w:w="290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rPr>
              <w:t>2023 vs 2022</w:t>
            </w: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top w:val="single" w:sz="8" w:color="auto"/>
              <w:bottom w:val="single" w:sz="8" w:color="CCEEFF"/>
            </w:tcBorders>
          </w:tcPr>
          <w:p>
            <w:pPr>
              <w:spacing w:after="0"/>
              <w:rPr>
                <w:sz w:val="20"/>
                <w:szCs w:val="20"/>
                <w:color w:val="auto"/>
              </w:rPr>
            </w:pPr>
          </w:p>
        </w:tc>
        <w:tc>
          <w:tcPr>
            <w:tcW w:w="16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Salaries, wages, and other benefits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6,797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6,690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(25)</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Software expenses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r>
      <w:tr>
        <w:trPr>
          <w:trHeight w:val="24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 income and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700" w:type="dxa"/>
            <w:vAlign w:val="bottom"/>
            <w:tcBorders>
              <w:bottom w:val="single" w:sz="8" w:color="CCEEFF"/>
            </w:tcBorders>
            <w:gridSpan w:val="2"/>
          </w:tcPr>
          <w:p>
            <w:pPr>
              <w:jc w:val="right"/>
              <w:ind w:right="119"/>
              <w:spacing w:after="0"/>
              <w:rPr>
                <w:sz w:val="20"/>
                <w:szCs w:val="20"/>
                <w:color w:val="auto"/>
              </w:rPr>
            </w:pPr>
            <w:r>
              <w:rPr>
                <w:rFonts w:ascii="Arial" w:cs="Arial" w:eastAsia="Arial" w:hAnsi="Arial"/>
                <w:sz w:val="16"/>
                <w:szCs w:val="16"/>
                <w:color w:val="auto"/>
              </w:rPr>
              <w:t>31</w:t>
            </w:r>
          </w:p>
        </w:tc>
      </w:tr>
      <w:tr>
        <w:trPr>
          <w:trHeight w:val="26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Other operating expenses decreased $0.7 million, or 5%, to $13.1 million for the six months ended June 30, 2023 from $13.7 million for the six months ended June 30, 2022. The decrease was primarily due to a $1.4 million decrease in stock-based compensation in the current period due to workforce reductions in 2023, partially offset by a $0.5 million increase in software expenses.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Finance Income (expense), net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6"/>
                <w:szCs w:val="16"/>
                <w:b w:val="1"/>
                <w:bCs w:val="1"/>
                <w:color w:val="auto"/>
              </w:rPr>
              <w:t>2023 vs 2022</w:t>
            </w:r>
          </w:p>
        </w:tc>
      </w:tr>
      <w:tr>
        <w:trPr>
          <w:trHeight w:val="23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Percent Change</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(1,588)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1,585</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46"/>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Series X preferred stock dividends</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7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r>
      <w:tr>
        <w:trPr>
          <w:trHeight w:val="240"/>
        </w:trPr>
        <w:tc>
          <w:tcPr>
            <w:tcW w:w="4700" w:type="dxa"/>
            <w:vAlign w:val="bottom"/>
          </w:tcPr>
          <w:p>
            <w:pPr>
              <w:ind w:left="180"/>
              <w:spacing w:after="0"/>
              <w:rPr>
                <w:sz w:val="20"/>
                <w:szCs w:val="20"/>
                <w:color w:val="auto"/>
              </w:rPr>
            </w:pPr>
            <w:r>
              <w:rPr>
                <w:rFonts w:ascii="Arial" w:cs="Arial" w:eastAsia="Arial" w:hAnsi="Arial"/>
                <w:sz w:val="16"/>
                <w:szCs w:val="16"/>
                <w:color w:val="auto"/>
              </w:rPr>
              <w:t>Other finance costs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700" w:type="dxa"/>
            <w:vAlign w:val="bottom"/>
            <w:gridSpan w:val="2"/>
          </w:tcPr>
          <w:p>
            <w:pPr>
              <w:jc w:val="right"/>
              <w:ind w:right="79"/>
              <w:spacing w:after="0"/>
              <w:rPr>
                <w:sz w:val="20"/>
                <w:szCs w:val="20"/>
                <w:color w:val="auto"/>
              </w:rPr>
            </w:pPr>
            <w:r>
              <w:rPr>
                <w:rFonts w:ascii="Arial" w:cs="Arial" w:eastAsia="Arial" w:hAnsi="Arial"/>
                <w:sz w:val="16"/>
                <w:szCs w:val="16"/>
                <w:color w:val="auto"/>
              </w:rPr>
              <w:t>(7)</w:t>
            </w: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39"/>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N/M: Not meaningful</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Finance income was $1.1 million for the six months ended June 30, 2023 compared to finance expense of $1.6 million for the six months ended June 30, 2022. The change was due primarily to a $1.6 million decrease in interest expense associated with the retirement of debt and mezzanine equity in connection with the Merger in January 2022 and a $1.0 million increase in interest income on cash and cash equivalents due to increased interest rates.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in fair value of financial instruments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Change in fair value of financial instruments decreased $39.0 million, or 87%, to $5.6 million for the six months ended June 30, 2023 from $44.6 million for the six months ended June 30, 2022. The change was driven by the $39 million decrease in fair value of warrant, and earnout liabilities. The fair value of these instruments is driven primarily by our common stock price, generating gains during the six months ended June 30, 2023 and June 30, 2022.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Other income, net increased $1.4 million or 270% to $1.9 million for the six months ended June 30, 2023 from $0.5 million for the six months ended June 30, 2022. The increase was due to foreign currency exchange differences primarily generated by foreign exchange rate effects in operating activities (where expense is denominated in a foreign currency).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149"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i w:val="1"/>
          <w:iCs w:val="1"/>
          <w:color w:val="auto"/>
        </w:rPr>
        <w:t>Income Tax</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Income tax expense remained flat at $2.1 million for the six months ended June 30, 2023 as compared to the same period in 2022.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Non-GAAP Financial Measure Reconciliations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have included reconciliations of non-GAAP EBITDA, non-GAAP Adjusted EBITDA and non-GAAP Free Cash Flow for the six months ended June 30, 2023 and 2022. Non-GAAP EBITDA, Non-GAAP Adjusted EBITDA and Non-GAAP Free Cash Flow are not intended to be a substitute for any GAAP financial measure.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define Non-GAAP EBITDA as net income excluding interest, income taxes, depreciation and amortization. The Company did not incur amortization expense during the six months ended June 30, 2023 or 2022.</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We define Non-GAAP Adjusted EBITDA as Non-GAAP EBITDA as further adjusted to exclude merger-related transaction costs, other financial income (which consists of foreign currency gains and losses), changes in the fair value of embedded derivative instruments and 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We define Non-GAAP Free Cash Flow as net cash used in operating activities less payments for capital expenditures.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following table presents a reconciliation of Non-GAAP EBITDA and Non-GAAP Adjusted EBITDA to its net loss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r>
      <w:tr>
        <w:trPr>
          <w:trHeight w:val="213"/>
        </w:trPr>
        <w:tc>
          <w:tcPr>
            <w:tcW w:w="8160" w:type="dxa"/>
            <w:vAlign w:val="bottom"/>
          </w:tcPr>
          <w:p>
            <w:pPr>
              <w:ind w:left="180"/>
              <w:spacing w:after="0"/>
              <w:rPr>
                <w:sz w:val="20"/>
                <w:szCs w:val="20"/>
                <w:color w:val="auto"/>
              </w:rPr>
            </w:pPr>
            <w:r>
              <w:rPr>
                <w:rFonts w:ascii="Arial" w:cs="Arial" w:eastAsia="Arial" w:hAnsi="Arial"/>
                <w:sz w:val="16"/>
                <w:szCs w:val="16"/>
                <w:color w:val="auto"/>
              </w:rPr>
              <w:t>Plus interest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1,588</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Plus income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Plus depreciation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w:t>
            </w: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2,095</w:t>
            </w:r>
          </w:p>
        </w:tc>
      </w:tr>
      <w:tr>
        <w:trPr>
          <w:trHeight w:val="207"/>
        </w:trPr>
        <w:tc>
          <w:tcPr>
            <w:tcW w:w="8160" w:type="dxa"/>
            <w:vAlign w:val="bottom"/>
          </w:tcPr>
          <w:p>
            <w:pPr>
              <w:ind w:left="180"/>
              <w:spacing w:after="0"/>
              <w:rPr>
                <w:sz w:val="20"/>
                <w:szCs w:val="20"/>
                <w:color w:val="auto"/>
              </w:rPr>
            </w:pPr>
            <w:r>
              <w:rPr>
                <w:rFonts w:ascii="Arial" w:cs="Arial" w:eastAsia="Arial" w:hAnsi="Arial"/>
                <w:sz w:val="16"/>
                <w:szCs w:val="16"/>
                <w:color w:val="auto"/>
              </w:rPr>
              <w:t>Plus Merger transaction costs</w:t>
            </w: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11,862</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other income,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8160" w:type="dxa"/>
            <w:vAlign w:val="bottom"/>
          </w:tcPr>
          <w:p>
            <w:pPr>
              <w:ind w:left="180"/>
              <w:spacing w:after="0"/>
              <w:rPr>
                <w:sz w:val="20"/>
                <w:szCs w:val="20"/>
                <w:color w:val="auto"/>
              </w:rPr>
            </w:pPr>
            <w:r>
              <w:rPr>
                <w:rFonts w:ascii="Arial" w:cs="Arial" w:eastAsia="Arial" w:hAnsi="Arial"/>
                <w:sz w:val="16"/>
                <w:szCs w:val="16"/>
                <w:color w:val="auto"/>
              </w:rPr>
              <w:t>Less change in fair value of financial instruments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(44,596)</w:t>
            </w:r>
          </w:p>
        </w:tc>
      </w:tr>
      <w:tr>
        <w:trPr>
          <w:trHeight w:val="216"/>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Plus stock-based compensation</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Non-GAAP 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(26,673)</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The following table presents a reconciliation of Non-GAAP Free Cash Flow to cash flows used in operating activities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(34,487)</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purchases of satellites and other property and equipment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(15,735)</w:t>
            </w: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Non-GAAP 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(36,241)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(50,222)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Capital Resources and Going Concern</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Our cash and cash equivalents are maintained in highly liquid investments with remaining maturities of 90 days or less at the time of purchase. As of June 30, 2023, we have $42.0 million in cash and cash equivalents on hand and no debt. Since our formation, we have devoted substantial effort and capital resources to the development of our satellite constellation and image technology. As of June 30, 2023, we have an accumulated</w:t>
      </w:r>
    </w:p>
    <w:p>
      <w:pPr>
        <w:sectPr>
          <w:pgSz w:w="11900" w:h="16838" w:orient="portrait"/>
          <w:cols w:equalWidth="0" w:num="1">
            <w:col w:w="11240"/>
          </w:cols>
          <w:pgMar w:left="320" w:top="114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9"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color w:val="auto"/>
        </w:rPr>
        <w:t>deficit of $252.7 million, and for the six months ended June 30, 2023, we had net cash used in operating activities of $26.3 million.</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As a result of the slower than anticipated revenue growth, we undertook cost and spending control measures in 2023. These actions primarily related to the moderation of capital expenditures, a reduction of certain discretionary spending, as well as a headcount reduction in both the first and third quarter of 2023 which totaled approximately 110 employees and represented approximately 25% of the total headcount at the beginning of 2023.</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Currently, we primarily rely on our existing cash and cash equivalents balances to fund our business, including capital expenditures and our working capital requirements. Our current and future revenue depends largely on our ability to: 1) utilize our available satellite capacity with new and existing customers and 2) enter into new commercial relationships with new customers. There can be no assurance that we will attain positive cash flow from operations, and if we continue to experience negative cash flows, our existing cash and cash equivalents balances may be reduced, and we may be required to reduce capital expenditures, or make other changes to our operating structure which could have a material adverse effect on our business.</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Given our current liquidity position and historical operating losses, we believe there is substantial doubt that we can continue as a going concern. Substantial doubt about an entity’s ability to continue as a going concern exists when conditions and events, considered in the aggregate, indicate that it is probable that the entity will be unable to meet its obligations as they become due within one year after the date that the financial statements are issued.</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have, however, prepared the unaudited condensed consolidated interim financial statements included elsewhere in this Quarterly Report on a going concern basis, assuming that our financial resources will be sufficient to meet our capital needs over the next twelve months. Accordingly, our financial statements do not include adjustments relating to the recoverability and realization of assets and classification of liabilities that might be necessary should we be unable to continue in operation.</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In an effort to address our ability to continue as a going concern, we continue to seek and evaluate opportunities to raise additional capital through the issuance of equity or debt, or a combination of both. Until such time that we can generate revenue sufficient to achieve profitability, we expect to finance our operations through equity or debt financings, which may not be available to us on the timing needed or on terms that the Company deems to be favorable. To the extent that we raise additional capital through the sale of equity or convertible debt securities, the ownership interest of our stockholders may be diluted, and the terms of these securities may include liquidation or other preferences that adversely affect the rights of common stockholders. Debt financing and equity financing, if available, may involve agreements that include covenants limiting or restricting our ability to take specific actions, such as incurring additional debt, making acquisitions or capital expenditures or declaring dividends. If we are unable to obtain sufficient financial resources, our business, financial condition and results of operations will be materially and adversely affected. There can be no assurance that we will be able to obtain the needed financing on acceptable terms or at all.</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are an early-stage growth company in the early stage of development, and subject to a number of risks associated with emerging, technology-oriented companies with a limited operating history, including, but not limited to, dependence on key individuals, a developing business model,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set forth under Item 3D. “Risk Factors” of our Annual Report, could have an adverse impact on our business and financial prospects and cause us to seek additional financing to fund future operations.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933"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Our updated guidance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190500</wp:posOffset>
            </wp:positionV>
            <wp:extent cx="3600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ind w:left="20"/>
              <w:spacing w:after="0"/>
              <w:rPr>
                <w:sz w:val="20"/>
                <w:szCs w:val="20"/>
                <w:color w:val="auto"/>
              </w:rPr>
            </w:pPr>
            <w:r>
              <w:rPr>
                <w:rFonts w:ascii="Arial" w:cs="Arial" w:eastAsia="Arial" w:hAnsi="Arial"/>
                <w:sz w:val="16"/>
                <w:szCs w:val="16"/>
                <w:i w:val="1"/>
                <w:iCs w:val="1"/>
                <w:color w:val="auto"/>
              </w:rPr>
              <w:t>(in Millions of U.S. dollars, except number of satellites)</w:t>
            </w:r>
          </w:p>
        </w:tc>
        <w:tc>
          <w:tcPr>
            <w:tcW w:w="2620" w:type="dxa"/>
            <w:vAlign w:val="bottom"/>
            <w:gridSpan w:val="2"/>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186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246"/>
        </w:trPr>
        <w:tc>
          <w:tcPr>
            <w:tcW w:w="4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Satellites Launched into Constellation</w:t>
            </w:r>
          </w:p>
        </w:tc>
        <w:tc>
          <w:tcPr>
            <w:tcW w:w="262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12</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8 - 12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- 9</w:t>
            </w:r>
          </w:p>
        </w:tc>
      </w:tr>
      <w:tr>
        <w:trPr>
          <w:trHeight w:val="240"/>
        </w:trPr>
        <w:tc>
          <w:tcPr>
            <w:tcW w:w="4820" w:type="dxa"/>
            <w:vAlign w:val="bottom"/>
          </w:tcPr>
          <w:p>
            <w:pPr>
              <w:ind w:left="180"/>
              <w:spacing w:after="0"/>
              <w:rPr>
                <w:sz w:val="20"/>
                <w:szCs w:val="20"/>
                <w:color w:val="auto"/>
              </w:rPr>
            </w:pPr>
            <w:r>
              <w:rPr>
                <w:rFonts w:ascii="Arial" w:cs="Arial" w:eastAsia="Arial" w:hAnsi="Arial"/>
                <w:sz w:val="16"/>
                <w:szCs w:val="16"/>
                <w:color w:val="auto"/>
              </w:rPr>
              <w:t>Revenues</w:t>
            </w: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1060" w:type="dxa"/>
            <w:vAlign w:val="bottom"/>
          </w:tcPr>
          <w:p>
            <w:pPr>
              <w:ind w:left="20"/>
              <w:spacing w:after="0"/>
              <w:rPr>
                <w:sz w:val="20"/>
                <w:szCs w:val="20"/>
                <w:color w:val="auto"/>
              </w:rPr>
            </w:pPr>
            <w:r>
              <w:rPr>
                <w:rFonts w:ascii="Arial" w:cs="Arial" w:eastAsia="Arial" w:hAnsi="Arial"/>
                <w:sz w:val="16"/>
                <w:szCs w:val="16"/>
                <w:color w:val="auto"/>
              </w:rPr>
              <w:t>- $20</w:t>
            </w: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$38 - $58</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960" w:type="dxa"/>
            <w:vAlign w:val="bottom"/>
          </w:tcPr>
          <w:p>
            <w:pPr>
              <w:ind w:left="20"/>
              <w:spacing w:after="0"/>
              <w:rPr>
                <w:sz w:val="20"/>
                <w:szCs w:val="20"/>
                <w:color w:val="auto"/>
              </w:rPr>
            </w:pPr>
            <w:r>
              <w:rPr>
                <w:rFonts w:ascii="Arial" w:cs="Arial" w:eastAsia="Arial" w:hAnsi="Arial"/>
                <w:sz w:val="16"/>
                <w:szCs w:val="16"/>
                <w:color w:val="auto"/>
              </w:rPr>
              <w:t>- $90</w:t>
            </w:r>
          </w:p>
        </w:tc>
      </w:tr>
      <w:tr>
        <w:trPr>
          <w:trHeight w:val="246"/>
        </w:trPr>
        <w:tc>
          <w:tcPr>
            <w:tcW w:w="4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($35)</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 - $5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- 25</w:t>
            </w:r>
          </w:p>
        </w:tc>
      </w:tr>
    </w:tbl>
    <w:p>
      <w:pPr>
        <w:spacing w:after="0" w:line="30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As previously indicated in our 2022 Annual Report, we expect our 2023 revenue to be heavily weighted to the second half of the year and that reaching our revenue targets for 2023 will largely be dependent on closing opportunities within our Space Systems line of business. As we look to 2024 and beyond, we are focused on executing on our strategic realignment and growth opportunities in the U.S. market. We continue to expect our revenue will be driven by our further growth in Asset Monitoring, Constellation-as-a-Service, and Space Systems. We anticipate that Space Systems will contribute considerable per unit cash flow and strong gross margin. We are evaluating a range of strategic alternatives, including opportunities to raise additional capital, to best position our Company to deliver on its value proposition.</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moderate capital expenditures, we do not expect to launch any additional satellites until the first quarter of 2024, with our next scheduled launch to consist of six satellites on SpaceX’s Transporter 10 mission.</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Our outlook is subject to substantial uncertainty. Our results are inherently unpredictable and may be materially affected by many factors, such as our long and unpredictable sales cycles, which involve considerable time and expense, and our ability to, among other things, execute on our strategic realignment and focus on growth opportunities in the U.S. market, implement appropriate sales strategies, including educating potential customers about the technical capabilities and value of our satellites and product offerings, prepare and operate high-throughput position factories, acquire sufficient quantities of third-party components and supplies, recruit and maintain adequate staffing, implement effective supplier strategy and supply chain management, and adopt manufacturing and quality control processes. Factors outside our control, such as changes in global economic and geopolitical conditions, inflation, interest rates, financial institution disruptions, supply chain constraints and other macroeconomic factors may also have a significant impact. All of these risks, as well as the risks set forth in our 2022 Annual Report, could materially and adversely impact our business and financial prospects and impair our ability to execute our business plan and achieve our revenue targets.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Summary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Presented below is a summary of the Company’s operating, investing and financing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flows: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60" w:type="dxa"/>
            <w:vAlign w:val="bottom"/>
          </w:tcPr>
          <w:p>
            <w:pPr>
              <w:ind w:left="180"/>
              <w:spacing w:after="0"/>
              <w:rPr>
                <w:sz w:val="20"/>
                <w:szCs w:val="20"/>
                <w:color w:val="auto"/>
              </w:rPr>
            </w:pPr>
            <w:r>
              <w:rPr>
                <w:rFonts w:ascii="Arial" w:cs="Arial" w:eastAsia="Arial" w:hAnsi="Arial"/>
                <w:sz w:val="16"/>
                <w:szCs w:val="16"/>
                <w:color w:val="auto"/>
              </w:rPr>
              <w:t>Net cash flows used in 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(26,313)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560"/>
              <w:spacing w:after="0"/>
              <w:rPr>
                <w:sz w:val="20"/>
                <w:szCs w:val="20"/>
                <w:color w:val="auto"/>
              </w:rPr>
            </w:pPr>
            <w:r>
              <w:rPr>
                <w:rFonts w:ascii="Arial" w:cs="Arial" w:eastAsia="Arial" w:hAnsi="Arial"/>
                <w:sz w:val="16"/>
                <w:szCs w:val="16"/>
                <w:color w:val="auto"/>
                <w:w w:val="93"/>
              </w:rPr>
              <w:t>(34,487)</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560"/>
              <w:spacing w:after="0"/>
              <w:rPr>
                <w:sz w:val="20"/>
                <w:szCs w:val="20"/>
                <w:color w:val="auto"/>
              </w:rPr>
            </w:pPr>
            <w:r>
              <w:rPr>
                <w:rFonts w:ascii="Arial" w:cs="Arial" w:eastAsia="Arial" w:hAnsi="Arial"/>
                <w:sz w:val="16"/>
                <w:szCs w:val="16"/>
                <w:color w:val="auto"/>
                <w:w w:val="93"/>
              </w:rPr>
              <w:t>(15,682)</w:t>
            </w:r>
          </w:p>
        </w:tc>
      </w:tr>
      <w:tr>
        <w:trPr>
          <w:trHeight w:val="21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cash flows from financing activities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164,214</w:t>
            </w: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w w:val="96"/>
              </w:rPr>
              <w:t>114,045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cash flows used in operating activities to date have been primarily comprised of costs and expenses related to development of our products, payroll, fluctuations in accounts payable and other current assets and liabilities. As we reduced headcount and discretionary spending, net cash used by operations declined during 2023 as planned.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933"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Cash flows used in operating activities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of U.S. dollars)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r>
      <w:tr>
        <w:trPr>
          <w:trHeight w:val="216"/>
        </w:trPr>
        <w:tc>
          <w:tcPr>
            <w:tcW w:w="8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Adjustments for the impact of non-cash items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(18,471)</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adjusted for the impact of non-cash items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(26,592)</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6"/>
        </w:trPr>
        <w:tc>
          <w:tcPr>
            <w:tcW w:w="8060" w:type="dxa"/>
            <w:vAlign w:val="bottom"/>
          </w:tcPr>
          <w:p>
            <w:pPr>
              <w:ind w:left="180"/>
              <w:spacing w:after="0" w:line="216" w:lineRule="exact"/>
              <w:rPr>
                <w:sz w:val="20"/>
                <w:szCs w:val="20"/>
                <w:color w:val="auto"/>
              </w:rPr>
            </w:pPr>
            <w:r>
              <w:rPr>
                <w:rFonts w:ascii="Arial" w:cs="Arial" w:eastAsia="Arial" w:hAnsi="Arial"/>
                <w:sz w:val="16"/>
                <w:szCs w:val="16"/>
                <w:color w:val="auto"/>
              </w:rPr>
              <w:t>Prepaids and other current assets</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(4,367)</w:t>
            </w:r>
          </w:p>
        </w:tc>
      </w:tr>
      <w:tr>
        <w:trPr>
          <w:trHeight w:val="216"/>
        </w:trPr>
        <w:tc>
          <w:tcPr>
            <w:tcW w:w="80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Accounts payable </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806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(5)</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(26,313)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(34,487)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40" w:hanging="332"/>
        <w:spacing w:after="0" w:line="228"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items such as depreciation, changes in the fair value of financial instruments, interest expense, stock-based compensation expense, allowance for doubtful accounts, changes in foreign currency and others.</w:t>
      </w:r>
    </w:p>
    <w:p>
      <w:pPr>
        <w:spacing w:after="0" w:line="1" w:lineRule="exact"/>
        <w:rPr>
          <w:rFonts w:ascii="Arial" w:cs="Arial" w:eastAsia="Arial" w:hAnsi="Arial"/>
          <w:sz w:val="21"/>
          <w:szCs w:val="21"/>
          <w:color w:val="auto"/>
          <w:vertAlign w:val="superscript"/>
        </w:rPr>
      </w:pPr>
    </w:p>
    <w:p>
      <w:pPr>
        <w:ind w:left="320" w:hanging="312"/>
        <w:spacing w:after="0" w:line="187"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change is primarily due to higher accounts receivable from our CaaS customer.</w:t>
      </w:r>
    </w:p>
    <w:p>
      <w:pPr>
        <w:ind w:left="320" w:hanging="312"/>
        <w:spacing w:after="0" w:line="191"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change is primarily due to lower prepaid expenses from lower advances to suppliers.</w:t>
      </w:r>
    </w:p>
    <w:p>
      <w:pPr>
        <w:spacing w:after="0" w:line="10" w:lineRule="exact"/>
        <w:rPr>
          <w:rFonts w:ascii="Arial" w:cs="Arial" w:eastAsia="Arial" w:hAnsi="Arial"/>
          <w:sz w:val="21"/>
          <w:szCs w:val="21"/>
          <w:color w:val="auto"/>
          <w:vertAlign w:val="superscript"/>
        </w:rPr>
      </w:pPr>
    </w:p>
    <w:p>
      <w:pPr>
        <w:ind w:left="320" w:hanging="312"/>
        <w:spacing w:after="0" w:line="187"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change is primarily due to the timing of payments.</w:t>
      </w:r>
    </w:p>
    <w:p>
      <w:pPr>
        <w:ind w:left="320" w:hanging="312"/>
        <w:spacing w:after="0" w:line="191"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change is primarily due to timing of payments and a decrease in contract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Our cash flows used in investing activities to date have been primarily comprised of purchases of satellite components and other property and equipment. Investing activities have increased substantially as we ramp up satellite production activity and factory development in connection with expanding our production capacity.</w:t>
      </w:r>
    </w:p>
    <w:p>
      <w:pPr>
        <w:spacing w:after="0" w:line="193" w:lineRule="exact"/>
        <w:rPr>
          <w:sz w:val="20"/>
          <w:szCs w:val="20"/>
          <w:color w:val="auto"/>
        </w:rPr>
      </w:pPr>
    </w:p>
    <w:p>
      <w:pPr>
        <w:jc w:val="both"/>
        <w:spacing w:after="0" w:line="332" w:lineRule="auto"/>
        <w:rPr>
          <w:sz w:val="20"/>
          <w:szCs w:val="20"/>
          <w:color w:val="auto"/>
        </w:rPr>
      </w:pPr>
      <w:r>
        <w:rPr>
          <w:rFonts w:ascii="Arial" w:cs="Arial" w:eastAsia="Arial" w:hAnsi="Arial"/>
          <w:sz w:val="18"/>
          <w:szCs w:val="18"/>
          <w:color w:val="auto"/>
        </w:rPr>
        <w:t>Net cash used in investing activities was $9.9 million for the six months ended June 30, 2023, compared to $15.7 million for the six months ended June 30, 2022. The decrease in cash used in investing activities was primarily driven by the planned decrease in capital expenditures.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Net cash used by financing activities was $19 thousand for the six months ended June 30, 2023. Net cash provided by financing activities was $164.2 million during the six months ended June 30, 2022 which resulted from the consummation of the transactions contemplated by that previously announced Merger Agreement, as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2023 and December 31, 2022, we had no outstanding debt.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unaudited condensed consolidated financial statements, which have been prepared in accordance with U.S. GAAP. The preparation of our unaudited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fair value of financial instruments, stock-based compensation, impairment of assets, and income taxes. The application of each of these critical accounting policies and estimates set forth under Item 5.E "Critical Accounting Policies and Estimates” of our 2022 Annual Report.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149"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Emerging Growth Company Status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2023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We will also rely on certain reduced reporting and other requirements that are otherwise generally applicable to public companies.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Refer to Note 3 (Accounting Standard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0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2023-09-21T15:51:28Z</dcterms:created>
  <dcterms:modified xsi:type="dcterms:W3CDTF">2023-09-21T15:51:28Z</dcterms:modified>
</cp:coreProperties>
</file>